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hd w:fill="FFFFFF" w:val="clear"/>
        <w:spacing w:lineRule="atLeast" w:line="675" w:before="0" w:after="375"/>
        <w:outlineLvl w:val="0"/>
        <w:rPr>
          <w:rFonts w:eastAsia="Times New Roman" w:cs="Tahoma" w:ascii="Tahoma" w:hAnsi="Tahoma"/>
          <w:b/>
          <w:bCs/>
          <w:color w:val="393939"/>
          <w:spacing w:val="9"/>
          <w:sz w:val="48"/>
          <w:szCs w:val="48"/>
          <w:lang w:eastAsia="cs-CZ"/>
        </w:rPr>
      </w:pPr>
      <w:r>
        <w:rPr>
          <w:rFonts w:eastAsia="Times New Roman" w:cs="Tahoma" w:ascii="Tahoma" w:hAnsi="Tahoma"/>
          <w:b/>
          <w:bCs/>
          <w:color w:val="393939"/>
          <w:spacing w:val="9"/>
          <w:sz w:val="48"/>
          <w:szCs w:val="48"/>
          <w:lang w:eastAsia="cs-CZ"/>
        </w:rPr>
        <w:t>Karanténa a ošetřovné: Informace pro rodiče a školská (obdobná) zařízení.</w:t>
      </w:r>
    </w:p>
    <w:p>
      <w:pPr>
        <w:pStyle w:val="Normal"/>
        <w:shd w:fill="FFFFFF" w:val="clear"/>
        <w:spacing w:lineRule="atLeast" w:line="360" w:before="0" w:after="600"/>
        <w:rPr>
          <w:rFonts w:eastAsia="Times New Roman" w:cs="Arial" w:ascii="Arial" w:hAnsi="Arial"/>
          <w:color w:val="393939"/>
          <w:spacing w:val="9"/>
          <w:sz w:val="24"/>
          <w:szCs w:val="24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4"/>
          <w:szCs w:val="24"/>
          <w:lang w:eastAsia="cs-CZ"/>
        </w:rPr>
        <w:t>V souvislosti s rozhodnutím vlády o uzavření základních, středních i vysokých škol informuje ČSSZ o nároku na ošetřovné, které mohou rodiče dětí čerpat, pokud v důsledku tohoto rozhodnutí zůstanou doma s dítětem mladším 10 let.</w:t>
      </w:r>
    </w:p>
    <w:p>
      <w:pPr>
        <w:pStyle w:val="Normal"/>
        <w:shd w:fill="FFFFFF" w:val="clear"/>
        <w:spacing w:lineRule="atLeast" w:line="360" w:before="0" w:after="375"/>
        <w:outlineLvl w:val="2"/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</w:pPr>
      <w:r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  <w:t>Jaké jsou podmínky vzniku nároku na ošetřovné?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Rodič (jiný pečující) musí být jako zaměstnanec</w:t>
      </w:r>
      <w:r>
        <w:rPr>
          <w:rFonts w:eastAsia="Times New Roman" w:cs="Arial" w:ascii="Arial" w:hAnsi="Arial"/>
          <w:color w:val="393939"/>
          <w:spacing w:val="9"/>
          <w:sz w:val="23"/>
          <w:lang w:eastAsia="cs-CZ"/>
        </w:rPr>
        <w:t> </w:t>
      </w:r>
      <w:r>
        <w:rPr>
          <w:rFonts w:eastAsia="Times New Roman" w:cs="Arial" w:ascii="Arial" w:hAnsi="Arial"/>
          <w:b/>
          <w:bCs/>
          <w:color w:val="393939"/>
          <w:spacing w:val="9"/>
          <w:sz w:val="23"/>
          <w:lang w:eastAsia="cs-CZ"/>
        </w:rPr>
        <w:t>účasten nemocenského pojištění</w:t>
      </w: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.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Dítě, které nemůže navštěvovat toto zařízení je</w:t>
      </w:r>
      <w:r>
        <w:rPr>
          <w:rFonts w:eastAsia="Times New Roman" w:cs="Arial" w:ascii="Arial" w:hAnsi="Arial"/>
          <w:color w:val="393939"/>
          <w:spacing w:val="9"/>
          <w:sz w:val="23"/>
          <w:lang w:eastAsia="cs-CZ"/>
        </w:rPr>
        <w:t> </w:t>
      </w:r>
      <w:r>
        <w:rPr>
          <w:rFonts w:eastAsia="Times New Roman" w:cs="Arial" w:ascii="Arial" w:hAnsi="Arial"/>
          <w:b/>
          <w:bCs/>
          <w:color w:val="393939"/>
          <w:spacing w:val="9"/>
          <w:sz w:val="23"/>
          <w:lang w:eastAsia="cs-CZ"/>
        </w:rPr>
        <w:t>mladší 10 let</w:t>
      </w: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.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Bude-li o dítě pečovat někdo jiný než jeho rodič (např. babička), je podmínkou nároku, že s dítětem žije</w:t>
        <w:br/>
        <w:t>ve</w:t>
      </w:r>
      <w:r>
        <w:rPr>
          <w:rFonts w:eastAsia="Times New Roman" w:cs="Arial" w:ascii="Arial" w:hAnsi="Arial"/>
          <w:b/>
          <w:bCs/>
          <w:color w:val="393939"/>
          <w:spacing w:val="9"/>
          <w:sz w:val="23"/>
          <w:lang w:eastAsia="cs-CZ"/>
        </w:rPr>
        <w:t> společné domácnosti</w:t>
      </w: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.</w:t>
      </w:r>
    </w:p>
    <w:p>
      <w:pPr>
        <w:pStyle w:val="Normal"/>
        <w:shd w:fill="FFFFFF" w:val="clear"/>
        <w:spacing w:lineRule="atLeast" w:line="360" w:before="0" w:after="375"/>
        <w:outlineLvl w:val="2"/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</w:pPr>
      <w:r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  <w:t>Jak dlouho lze ošetřovné čerpat?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Maximálně lze ošetřovné čerpat</w:t>
      </w:r>
      <w:r>
        <w:rPr>
          <w:rFonts w:eastAsia="Times New Roman" w:cs="Arial" w:ascii="Arial" w:hAnsi="Arial"/>
          <w:color w:val="393939"/>
          <w:spacing w:val="9"/>
          <w:sz w:val="23"/>
          <w:lang w:eastAsia="cs-CZ"/>
        </w:rPr>
        <w:t> </w:t>
      </w:r>
      <w:r>
        <w:rPr>
          <w:rFonts w:eastAsia="Times New Roman" w:cs="Arial" w:ascii="Arial" w:hAnsi="Arial"/>
          <w:b/>
          <w:bCs/>
          <w:color w:val="393939"/>
          <w:spacing w:val="9"/>
          <w:sz w:val="23"/>
          <w:lang w:eastAsia="cs-CZ"/>
        </w:rPr>
        <w:t>9 dní</w:t>
      </w: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. Výjimkou jsou případy, kdy je rodič samoživitel. Ten může čerpat ošetřovné až</w:t>
      </w:r>
      <w:r>
        <w:rPr>
          <w:rFonts w:eastAsia="Times New Roman" w:cs="Arial" w:ascii="Arial" w:hAnsi="Arial"/>
          <w:color w:val="393939"/>
          <w:spacing w:val="9"/>
          <w:sz w:val="23"/>
          <w:lang w:eastAsia="cs-CZ"/>
        </w:rPr>
        <w:t> </w:t>
      </w:r>
      <w:r>
        <w:rPr>
          <w:rFonts w:eastAsia="Times New Roman" w:cs="Arial" w:ascii="Arial" w:hAnsi="Arial"/>
          <w:b/>
          <w:bCs/>
          <w:color w:val="393939"/>
          <w:spacing w:val="9"/>
          <w:sz w:val="23"/>
          <w:lang w:eastAsia="cs-CZ"/>
        </w:rPr>
        <w:t>16 dní</w:t>
      </w: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.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Rodiče či jiné oprávněné osoby se přitom mohou v průběhu 9 dní (resp. 16 dní) jednou v ošetřování vystřídat.</w:t>
      </w:r>
    </w:p>
    <w:p>
      <w:pPr>
        <w:pStyle w:val="Normal"/>
        <w:shd w:fill="FFFFFF" w:val="clear"/>
        <w:spacing w:lineRule="atLeast" w:line="360" w:before="0" w:after="375"/>
        <w:outlineLvl w:val="2"/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</w:pPr>
      <w:r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  <w:t>Co dále po dočerpání ošetřovného?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Při péči o dítě z důvodu popsaného uzavření školského zařízení i po uplynutí prvních 9 (resp. 16) kalendářních dnů sice již ošetřovné nenáleží, jde však i nadále o omluvenou nepřítomnost v práci.</w:t>
      </w:r>
    </w:p>
    <w:p>
      <w:pPr>
        <w:pStyle w:val="Normal"/>
        <w:shd w:fill="FFFFFF" w:val="clear"/>
        <w:spacing w:lineRule="atLeast" w:line="360" w:before="0" w:after="375"/>
        <w:outlineLvl w:val="2"/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</w:pPr>
      <w:r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  <w:t>Jaká je výše ošetřovného?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Výše ošetřovného od prvního kalendářního dne činí</w:t>
      </w:r>
      <w:r>
        <w:rPr>
          <w:rFonts w:eastAsia="Times New Roman" w:cs="Arial" w:ascii="Arial" w:hAnsi="Arial"/>
          <w:color w:val="393939"/>
          <w:spacing w:val="9"/>
          <w:sz w:val="23"/>
          <w:lang w:eastAsia="cs-CZ"/>
        </w:rPr>
        <w:t> </w:t>
      </w:r>
      <w:r>
        <w:rPr>
          <w:rFonts w:eastAsia="Times New Roman" w:cs="Arial" w:ascii="Arial" w:hAnsi="Arial"/>
          <w:b/>
          <w:bCs/>
          <w:color w:val="393939"/>
          <w:spacing w:val="9"/>
          <w:sz w:val="23"/>
          <w:lang w:eastAsia="cs-CZ"/>
        </w:rPr>
        <w:t>60 % redukovaného denního vyměřovacího základu</w:t>
      </w: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za kalendářní den.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Orientační výši dávky spočítá příslušná</w:t>
      </w:r>
      <w:r>
        <w:rPr>
          <w:rFonts w:eastAsia="Times New Roman" w:cs="Arial" w:ascii="Arial" w:hAnsi="Arial"/>
          <w:color w:val="393939"/>
          <w:spacing w:val="9"/>
          <w:sz w:val="23"/>
          <w:lang w:eastAsia="cs-CZ"/>
        </w:rPr>
        <w:t> </w:t>
      </w:r>
      <w:hyperlink r:id="rId2">
        <w:r>
          <w:rPr>
            <w:rStyle w:val="Internetovodkaz"/>
            <w:rFonts w:eastAsia="Times New Roman" w:cs="Arial" w:ascii="Arial" w:hAnsi="Arial"/>
            <w:color w:val="393939"/>
            <w:spacing w:val="9"/>
            <w:sz w:val="23"/>
            <w:u w:val="single"/>
            <w:lang w:eastAsia="cs-CZ"/>
          </w:rPr>
          <w:t>kalkulačka MPSV</w:t>
        </w:r>
      </w:hyperlink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.</w:t>
      </w:r>
    </w:p>
    <w:p>
      <w:pPr>
        <w:pStyle w:val="Normal"/>
        <w:shd w:fill="FFFFFF" w:val="clear"/>
        <w:spacing w:lineRule="atLeast" w:line="360" w:before="0" w:after="375"/>
        <w:outlineLvl w:val="2"/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</w:pPr>
      <w:r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  <w:t>Jak se uplatní nárok na ošetřovné?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Nárok na ošetřovné při péči o dítě do 10 let z důvodu uzavření dětského výchovného zařízení uplatňuje zaměstnanec tiskopisem</w:t>
      </w:r>
      <w:r>
        <w:rPr>
          <w:rFonts w:eastAsia="Times New Roman" w:cs="Arial" w:ascii="Arial" w:hAnsi="Arial"/>
          <w:color w:val="393939"/>
          <w:spacing w:val="9"/>
          <w:sz w:val="23"/>
          <w:lang w:eastAsia="cs-CZ"/>
        </w:rPr>
        <w:t> </w:t>
      </w:r>
      <w:hyperlink r:id="rId3">
        <w:r>
          <w:rPr>
            <w:rStyle w:val="Internetovodkaz"/>
            <w:rFonts w:eastAsia="Times New Roman" w:cs="Arial" w:ascii="Arial" w:hAnsi="Arial"/>
            <w:i/>
            <w:iCs/>
            <w:color w:val="393939"/>
            <w:spacing w:val="9"/>
            <w:sz w:val="23"/>
            <w:u w:val="single"/>
            <w:lang w:eastAsia="cs-CZ"/>
          </w:rPr>
          <w:t>Žádost o ošetřovné při péči o dítě do 10 let z důvodu uzavření výchovného zařízení (školy)</w:t>
        </w:r>
        <w:r>
          <w:rPr>
            <w:rStyle w:val="Internetovodkaz"/>
            <w:rFonts w:eastAsia="Times New Roman" w:cs="Arial" w:ascii="Arial" w:hAnsi="Arial"/>
            <w:color w:val="393939"/>
            <w:spacing w:val="9"/>
            <w:sz w:val="23"/>
            <w:u w:val="single"/>
            <w:lang w:eastAsia="cs-CZ"/>
          </w:rPr>
          <w:t> (PDF 423,51 kB)</w:t>
        </w:r>
      </w:hyperlink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, který mu vydá ve 2 vyhotoveních výchovné zařízení (škola), které dítě navštěvuje.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Druhé vyhotovení tiskopisu je pro případ, že se rodiče při péči střídají; jinak postačuje jedno vyhotovení.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Zaměstnanec doplní část B tiskopisu a předá ho neprodleně svému zaměstnavateli, který pak podklady pro výplatu dávky předá dále příslušné OSSZ.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Dávku vyplácí OSSZ (příslušná podle sídla zaměstnavatele či jeho účtárny), a to nejpozději do 1 měsíce následujícího po dni, v němž jí byly doručeny řádně vyplněné podklady.</w:t>
      </w:r>
    </w:p>
    <w:p>
      <w:pPr>
        <w:pStyle w:val="Normal"/>
        <w:shd w:fill="FFFFFF" w:val="clear"/>
        <w:spacing w:lineRule="atLeast" w:line="360" w:before="0" w:after="375"/>
        <w:outlineLvl w:val="2"/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</w:pPr>
      <w:r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  <w:t>Kde získá škola tiskopis žádosti?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Tiskopis je k dispozici na okresních správách sociálního zabezpečení. Lze ho rovněž</w:t>
      </w:r>
      <w:r>
        <w:rPr>
          <w:rFonts w:eastAsia="Times New Roman" w:cs="Arial" w:ascii="Arial" w:hAnsi="Arial"/>
          <w:color w:val="393939"/>
          <w:spacing w:val="9"/>
          <w:sz w:val="23"/>
          <w:lang w:eastAsia="cs-CZ"/>
        </w:rPr>
        <w:t> </w:t>
      </w:r>
      <w:hyperlink r:id="rId4">
        <w:r>
          <w:rPr>
            <w:rStyle w:val="Internetovodkaz"/>
            <w:rFonts w:eastAsia="Times New Roman" w:cs="Arial" w:ascii="Arial" w:hAnsi="Arial"/>
            <w:color w:val="393939"/>
            <w:spacing w:val="9"/>
            <w:sz w:val="23"/>
            <w:u w:val="single"/>
            <w:lang w:eastAsia="cs-CZ"/>
          </w:rPr>
          <w:t>vytisknout z webu ČSSZ</w:t>
        </w:r>
      </w:hyperlink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. Na vyžádání může být zaslán škole též v elektronické podobě.</w:t>
      </w:r>
    </w:p>
    <w:p>
      <w:pPr>
        <w:pStyle w:val="Normal"/>
        <w:numPr>
          <w:ilvl w:val="0"/>
          <w:numId w:val="1"/>
        </w:numPr>
        <w:shd w:fill="FFFFFF" w:val="clear"/>
        <w:spacing w:lineRule="atLeast" w:line="360" w:beforeAutospacing="1" w:after="375"/>
        <w:ind w:left="390" w:right="0" w:hanging="360"/>
        <w:rPr>
          <w:rStyle w:val="Internetovodkaz"/>
          <w:rFonts w:eastAsia="Times New Roman" w:cs="Arial" w:ascii="Arial" w:hAnsi="Arial"/>
          <w:i/>
          <w:iCs/>
          <w:color w:val="393939"/>
          <w:spacing w:val="9"/>
          <w:sz w:val="23"/>
          <w:u w:val="single"/>
          <w:lang w:eastAsia="cs-CZ"/>
        </w:rPr>
      </w:pPr>
      <w:r>
        <w:rPr>
          <w:rFonts w:eastAsia="Times New Roman" w:cs="Arial" w:ascii="Arial" w:hAnsi="Arial"/>
          <w:i/>
          <w:iCs/>
          <w:color w:val="393939"/>
          <w:spacing w:val="9"/>
          <w:sz w:val="23"/>
          <w:lang w:eastAsia="cs-CZ"/>
        </w:rPr>
        <w:t>Tiskopis ke stažení: </w:t>
      </w:r>
      <w:hyperlink r:id="rId5">
        <w:r>
          <w:rPr>
            <w:rStyle w:val="Internetovodkaz"/>
            <w:rFonts w:eastAsia="Times New Roman" w:cs="Arial" w:ascii="Arial" w:hAnsi="Arial"/>
            <w:i/>
            <w:iCs/>
            <w:color w:val="393939"/>
            <w:spacing w:val="9"/>
            <w:sz w:val="23"/>
            <w:u w:val="single"/>
            <w:lang w:eastAsia="cs-CZ"/>
          </w:rPr>
          <w:t>Žádost o ošetřovné při péči o dítě do 10 let z důvodu uzavření výchovného zařízení (školy) (PDF 423,51 kB)</w:t>
        </w:r>
      </w:hyperlink>
    </w:p>
    <w:p>
      <w:pPr>
        <w:pStyle w:val="Normal"/>
        <w:shd w:fill="FFFFFF" w:val="clear"/>
        <w:spacing w:lineRule="atLeast" w:line="360" w:before="0" w:after="375"/>
        <w:outlineLvl w:val="2"/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</w:pPr>
      <w:r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  <w:t>Vznikne nárok rovněž osobě samostatně výdělečně činné?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U osoby samostatně výdělečně činné nárok na ošetřovné nevzniká, ani pokud je dobrovolně přihlášena k nemocenskému pojištění.</w:t>
      </w:r>
    </w:p>
    <w:p>
      <w:pPr>
        <w:pStyle w:val="Normal"/>
        <w:shd w:fill="FFFFFF" w:val="clear"/>
        <w:spacing w:lineRule="atLeast" w:line="360" w:before="0" w:after="375"/>
        <w:outlineLvl w:val="2"/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</w:pPr>
      <w:r>
        <w:rPr>
          <w:rFonts w:eastAsia="Times New Roman" w:cs="Tahoma" w:ascii="Tahoma" w:hAnsi="Tahoma"/>
          <w:b/>
          <w:bCs/>
          <w:color w:val="393939"/>
          <w:spacing w:val="9"/>
          <w:sz w:val="27"/>
          <w:szCs w:val="27"/>
          <w:lang w:eastAsia="cs-CZ"/>
        </w:rPr>
        <w:t>Jak se postupuje v případě, že je z důvodu karantény třeba doma pečovat o více dětí?</w:t>
      </w:r>
    </w:p>
    <w:p>
      <w:pPr>
        <w:pStyle w:val="Normal"/>
        <w:shd w:fill="FFFFFF" w:val="clear"/>
        <w:spacing w:lineRule="atLeast" w:line="360" w:before="0" w:after="300"/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</w:pPr>
      <w:r>
        <w:rPr>
          <w:rFonts w:eastAsia="Times New Roman" w:cs="Arial" w:ascii="Arial" w:hAnsi="Arial"/>
          <w:color w:val="393939"/>
          <w:spacing w:val="9"/>
          <w:sz w:val="23"/>
          <w:szCs w:val="23"/>
          <w:lang w:eastAsia="cs-CZ"/>
        </w:rPr>
        <w:t>V tomto případě lze čerpat ošetřovné pouze prvních 9 dnů (nezáleží přitom, na které z dětí bude žádost o ošetřovné vystavena). Po devíti dnech stále trvá překážka v práci, ale ošetřovné již nenáleží.</w:t>
      </w:r>
    </w:p>
    <w:p>
      <w:pPr>
        <w:pStyle w:val="NormalWeb"/>
        <w:spacing w:lineRule="exact" w:line="345"/>
        <w:rPr>
          <w:rFonts w:cs="Arial" w:ascii="Arial" w:hAnsi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Web"/>
        <w:spacing w:lineRule="exact" w:line="345"/>
        <w:rPr>
          <w:rFonts w:cs="Arial" w:ascii="Arial" w:hAnsi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</w:r>
    </w:p>
    <w:p>
      <w:pPr>
        <w:pStyle w:val="NormalWeb"/>
        <w:spacing w:lineRule="exact" w:line="345"/>
        <w:rPr>
          <w:rFonts w:cs="Arial" w:ascii="Arial" w:hAnsi="Arial"/>
          <w:color w:val="000000"/>
          <w:sz w:val="21"/>
          <w:szCs w:val="21"/>
        </w:rPr>
      </w:pPr>
      <w:r>
        <w:rPr>
          <w:rFonts w:cs="Arial" w:ascii="Arial" w:hAnsi="Arial"/>
          <w:color w:val="000000"/>
          <w:sz w:val="21"/>
          <w:szCs w:val="21"/>
        </w:rPr>
        <w:t>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f0cf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cs-CZ" w:eastAsia="en-US" w:bidi="ar-SA"/>
    </w:rPr>
  </w:style>
  <w:style w:type="paragraph" w:styleId="Nadpis1">
    <w:name w:val="Nadpis 1"/>
    <w:uiPriority w:val="9"/>
    <w:qFormat/>
    <w:link w:val="Nadpis1Char"/>
    <w:rsid w:val="005c5f0f"/>
    <w:basedOn w:val="Normal"/>
    <w:pPr>
      <w:outlineLvl w:val="0"/>
    </w:pPr>
    <w:rPr/>
  </w:style>
  <w:style w:type="paragraph" w:styleId="Nadpis3">
    <w:name w:val="Nadpis 3"/>
    <w:uiPriority w:val="9"/>
    <w:qFormat/>
    <w:link w:val="Nadpis3Char"/>
    <w:rsid w:val="005c5f0f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Nadpis1Char" w:customStyle="1">
    <w:name w:val="Nadpis 1 Char"/>
    <w:uiPriority w:val="9"/>
    <w:link w:val="Nadpis1"/>
    <w:rsid w:val="005c5f0f"/>
    <w:basedOn w:val="DefaultParagraphFont"/>
    <w:rPr>
      <w:rFonts w:ascii="Times New Roman" w:hAnsi="Times New Roman" w:eastAsia="Times New Roman" w:cs="Times New Roman"/>
      <w:b/>
      <w:bCs/>
      <w:sz w:val="48"/>
      <w:szCs w:val="48"/>
      <w:lang w:eastAsia="cs-CZ"/>
    </w:rPr>
  </w:style>
  <w:style w:type="character" w:styleId="Nadpis3Char" w:customStyle="1">
    <w:name w:val="Nadpis 3 Char"/>
    <w:uiPriority w:val="9"/>
    <w:link w:val="Nadpis3"/>
    <w:rsid w:val="005c5f0f"/>
    <w:basedOn w:val="DefaultParagraphFont"/>
    <w:rPr>
      <w:rFonts w:ascii="Times New Roman" w:hAnsi="Times New Roman" w:eastAsia="Times New Roman" w:cs="Times New Roman"/>
      <w:b/>
      <w:bCs/>
      <w:sz w:val="27"/>
      <w:szCs w:val="27"/>
      <w:lang w:eastAsia="cs-CZ"/>
    </w:rPr>
  </w:style>
  <w:style w:type="character" w:styleId="Appleconvertedspace" w:customStyle="1">
    <w:name w:val="apple-converted-space"/>
    <w:rsid w:val="005c5f0f"/>
    <w:basedOn w:val="DefaultParagraphFont"/>
    <w:rPr/>
  </w:style>
  <w:style w:type="character" w:styleId="Strong">
    <w:name w:val="Strong"/>
    <w:uiPriority w:val="22"/>
    <w:qFormat/>
    <w:rsid w:val="005c5f0f"/>
    <w:basedOn w:val="DefaultParagraphFont"/>
    <w:rPr>
      <w:b/>
      <w:bCs/>
    </w:rPr>
  </w:style>
  <w:style w:type="character" w:styleId="Internetovodkaz">
    <w:name w:val="Internetový odkaz"/>
    <w:uiPriority w:val="99"/>
    <w:semiHidden/>
    <w:unhideWhenUsed/>
    <w:rsid w:val="005c5f0f"/>
    <w:basedOn w:val="DefaultParagraphFont"/>
    <w:rPr>
      <w:color w:val="0000FF"/>
      <w:u w:val="single"/>
      <w:lang w:val="zxx" w:eastAsia="zxx" w:bidi="zxx"/>
    </w:rPr>
  </w:style>
  <w:style w:type="character" w:styleId="Zdraznn">
    <w:name w:val="Zdůraznění"/>
    <w:uiPriority w:val="20"/>
    <w:qFormat/>
    <w:rsid w:val="005c5f0f"/>
    <w:basedOn w:val="DefaultParagraphFont"/>
    <w:rPr>
      <w:i/>
      <w:iCs/>
    </w:rPr>
  </w:style>
  <w:style w:type="character" w:styleId="Documentinfo" w:customStyle="1">
    <w:name w:val="document-info"/>
    <w:rsid w:val="005c5f0f"/>
    <w:basedOn w:val="DefaultParagraphFont"/>
    <w:rPr/>
  </w:style>
  <w:style w:type="character" w:styleId="ListLabel1">
    <w:name w:val="ListLabel 1"/>
    <w:rPr>
      <w:sz w:val="20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2218fa"/>
    <w:basedOn w:val="Normal"/>
    <w:pPr>
      <w:spacing w:lineRule="auto" w:line="240" w:before="300" w:after="300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Perex" w:customStyle="1">
    <w:name w:val="perex"/>
    <w:rsid w:val="005c5f0f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mpsv.cz/web/cz/kalkulacka-davek-v-roce-2020" TargetMode="External"/><Relationship Id="rId3" Type="http://schemas.openxmlformats.org/officeDocument/2006/relationships/hyperlink" Target="https://www.cssz.cz/documents/20143/157311/89_628_5.pdf/192f29d1-6677-9d93-59a7-60f8bb4b6e4b" TargetMode="External"/><Relationship Id="rId4" Type="http://schemas.openxmlformats.org/officeDocument/2006/relationships/hyperlink" Target="https://www.cssz.cz/documents/20143/157311/89_628_5.pdf" TargetMode="External"/><Relationship Id="rId5" Type="http://schemas.openxmlformats.org/officeDocument/2006/relationships/hyperlink" Target="https://www.cssz.cz/documents/20143/157311/89_628_5.pdf/192f29d1-6677-9d93-59a7-60f8bb4b6e4b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2020-03-10T13:56:00Z</dcterms:created>
  <dc:creator>Karel IV.</dc:creator>
  <dc:language>cs-CZ</dc:language>
  <cp:lastModifiedBy>Karel IV.</cp:lastModifiedBy>
  <cp:lastPrinted>2020-03-10T14:18:00Z</cp:lastPrinted>
  <dcterms:modified xsi:type="dcterms:W3CDTF">2020-03-10T14:28:00Z</dcterms:modified>
  <cp:revision>1</cp:revision>
</cp:coreProperties>
</file>