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8B39" w14:textId="77777777" w:rsidR="00CB27FB" w:rsidRDefault="00CB27FB" w:rsidP="00CB27FB">
      <w:pPr>
        <w:jc w:val="center"/>
        <w:rPr>
          <w:rFonts w:ascii="Times New Roman" w:hAnsi="Times New Roman" w:cs="Times New Roman"/>
          <w:sz w:val="24"/>
          <w:szCs w:val="24"/>
        </w:rPr>
      </w:pPr>
    </w:p>
    <w:p w14:paraId="5A51785A" w14:textId="77777777" w:rsidR="00CB27FB" w:rsidRDefault="00CB27FB" w:rsidP="00CB27FB">
      <w:pPr>
        <w:jc w:val="center"/>
        <w:rPr>
          <w:rFonts w:ascii="Times New Roman" w:hAnsi="Times New Roman" w:cs="Times New Roman"/>
          <w:sz w:val="24"/>
          <w:szCs w:val="24"/>
        </w:rPr>
      </w:pPr>
    </w:p>
    <w:p w14:paraId="75A97C8F" w14:textId="77777777" w:rsidR="00CB27FB" w:rsidRDefault="00CB27FB" w:rsidP="00CB27FB">
      <w:pPr>
        <w:jc w:val="center"/>
        <w:rPr>
          <w:rFonts w:ascii="Times New Roman" w:hAnsi="Times New Roman" w:cs="Times New Roman"/>
          <w:sz w:val="24"/>
          <w:szCs w:val="24"/>
        </w:rPr>
      </w:pPr>
    </w:p>
    <w:p w14:paraId="1587C0E3" w14:textId="77777777" w:rsidR="00CB27FB" w:rsidRDefault="00CB27FB" w:rsidP="00CB27FB">
      <w:pPr>
        <w:jc w:val="center"/>
        <w:rPr>
          <w:rFonts w:ascii="Times New Roman" w:hAnsi="Times New Roman" w:cs="Times New Roman"/>
          <w:sz w:val="24"/>
          <w:szCs w:val="24"/>
        </w:rPr>
      </w:pPr>
    </w:p>
    <w:p w14:paraId="4AA0A19D" w14:textId="77777777" w:rsidR="00CB27FB" w:rsidRDefault="00CB27FB" w:rsidP="00CB27FB">
      <w:pPr>
        <w:jc w:val="center"/>
        <w:rPr>
          <w:rFonts w:ascii="Times New Roman" w:hAnsi="Times New Roman" w:cs="Times New Roman"/>
          <w:sz w:val="24"/>
          <w:szCs w:val="24"/>
        </w:rPr>
      </w:pPr>
    </w:p>
    <w:p w14:paraId="2C0DE722" w14:textId="77777777" w:rsidR="00CB27FB" w:rsidRDefault="00CB27FB" w:rsidP="00CB27FB">
      <w:pPr>
        <w:jc w:val="center"/>
        <w:rPr>
          <w:rFonts w:ascii="Times New Roman" w:hAnsi="Times New Roman" w:cs="Times New Roman"/>
          <w:sz w:val="24"/>
          <w:szCs w:val="24"/>
        </w:rPr>
      </w:pPr>
    </w:p>
    <w:p w14:paraId="4D7078AE" w14:textId="77777777" w:rsidR="00CB27FB" w:rsidRDefault="00CB27FB" w:rsidP="00CB27FB">
      <w:pPr>
        <w:jc w:val="center"/>
        <w:rPr>
          <w:rFonts w:ascii="Times New Roman" w:hAnsi="Times New Roman" w:cs="Times New Roman"/>
          <w:sz w:val="24"/>
          <w:szCs w:val="24"/>
        </w:rPr>
      </w:pPr>
    </w:p>
    <w:p w14:paraId="1E1BCBD4" w14:textId="77777777" w:rsidR="00CB27FB" w:rsidRDefault="00CB27FB" w:rsidP="00CB27FB">
      <w:pPr>
        <w:jc w:val="center"/>
        <w:rPr>
          <w:rFonts w:ascii="Times New Roman" w:hAnsi="Times New Roman" w:cs="Times New Roman"/>
          <w:sz w:val="24"/>
          <w:szCs w:val="24"/>
        </w:rPr>
      </w:pPr>
    </w:p>
    <w:p w14:paraId="32022BDC" w14:textId="77777777" w:rsidR="00CB27FB" w:rsidRDefault="00CB27FB" w:rsidP="00CB27FB">
      <w:pPr>
        <w:jc w:val="center"/>
        <w:rPr>
          <w:rFonts w:ascii="Times New Roman" w:hAnsi="Times New Roman" w:cs="Times New Roman"/>
          <w:sz w:val="24"/>
          <w:szCs w:val="24"/>
        </w:rPr>
      </w:pPr>
    </w:p>
    <w:p w14:paraId="395C051E" w14:textId="77777777" w:rsidR="00CB27FB" w:rsidRDefault="00CB27FB" w:rsidP="00CB27FB">
      <w:pPr>
        <w:jc w:val="center"/>
        <w:rPr>
          <w:rFonts w:ascii="Times New Roman" w:hAnsi="Times New Roman" w:cs="Times New Roman"/>
          <w:sz w:val="24"/>
          <w:szCs w:val="24"/>
        </w:rPr>
      </w:pPr>
    </w:p>
    <w:p w14:paraId="364C16C8" w14:textId="77777777" w:rsidR="00CB27FB" w:rsidRDefault="00CB27FB" w:rsidP="00CB27FB">
      <w:pPr>
        <w:jc w:val="center"/>
        <w:rPr>
          <w:rFonts w:ascii="Times New Roman" w:hAnsi="Times New Roman" w:cs="Times New Roman"/>
          <w:sz w:val="24"/>
          <w:szCs w:val="24"/>
        </w:rPr>
      </w:pPr>
    </w:p>
    <w:p w14:paraId="0DC11F35" w14:textId="77777777" w:rsidR="00CB27FB" w:rsidRDefault="00CB27FB" w:rsidP="00CB27FB">
      <w:pPr>
        <w:jc w:val="center"/>
        <w:rPr>
          <w:rFonts w:ascii="Times New Roman" w:hAnsi="Times New Roman" w:cs="Times New Roman"/>
          <w:sz w:val="24"/>
          <w:szCs w:val="24"/>
        </w:rPr>
      </w:pPr>
    </w:p>
    <w:p w14:paraId="048D36B6" w14:textId="77777777" w:rsidR="00CB27FB" w:rsidRDefault="00CB27FB" w:rsidP="00CB27FB">
      <w:pPr>
        <w:jc w:val="center"/>
        <w:rPr>
          <w:rFonts w:ascii="Times New Roman" w:hAnsi="Times New Roman" w:cs="Times New Roman"/>
          <w:sz w:val="24"/>
          <w:szCs w:val="24"/>
        </w:rPr>
      </w:pPr>
    </w:p>
    <w:p w14:paraId="0DFE4939" w14:textId="0F925077" w:rsidR="00117E50" w:rsidRPr="00CB27FB" w:rsidRDefault="00CB27FB" w:rsidP="00CB27FB">
      <w:pPr>
        <w:jc w:val="center"/>
        <w:rPr>
          <w:rFonts w:ascii="Times New Roman" w:hAnsi="Times New Roman" w:cs="Times New Roman"/>
          <w:sz w:val="24"/>
          <w:szCs w:val="24"/>
        </w:rPr>
      </w:pPr>
      <w:r w:rsidRPr="00CB27FB">
        <w:rPr>
          <w:rFonts w:ascii="Times New Roman" w:hAnsi="Times New Roman" w:cs="Times New Roman"/>
          <w:sz w:val="24"/>
          <w:szCs w:val="24"/>
        </w:rPr>
        <w:t xml:space="preserve">Impact of Public Transit Use on COVID-19 </w:t>
      </w:r>
      <w:r w:rsidR="00F35562">
        <w:rPr>
          <w:rFonts w:ascii="Times New Roman" w:hAnsi="Times New Roman" w:cs="Times New Roman"/>
          <w:sz w:val="24"/>
          <w:szCs w:val="24"/>
        </w:rPr>
        <w:t>Spread</w:t>
      </w:r>
    </w:p>
    <w:p w14:paraId="75B12B38" w14:textId="180EEC77" w:rsidR="00CB27FB" w:rsidRPr="00CB27FB" w:rsidRDefault="00CB27FB" w:rsidP="00CB27FB">
      <w:pPr>
        <w:jc w:val="center"/>
        <w:rPr>
          <w:rFonts w:ascii="Times New Roman" w:hAnsi="Times New Roman" w:cs="Times New Roman"/>
          <w:sz w:val="24"/>
          <w:szCs w:val="24"/>
        </w:rPr>
      </w:pPr>
      <w:r w:rsidRPr="00CB27FB">
        <w:rPr>
          <w:rFonts w:ascii="Times New Roman" w:hAnsi="Times New Roman" w:cs="Times New Roman"/>
          <w:sz w:val="24"/>
          <w:szCs w:val="24"/>
        </w:rPr>
        <w:t>Miranda Reid</w:t>
      </w:r>
    </w:p>
    <w:p w14:paraId="0F9244EF" w14:textId="21C9A284" w:rsidR="00CB27FB" w:rsidRPr="00CB27FB" w:rsidRDefault="00CB27FB" w:rsidP="00CB27FB">
      <w:pPr>
        <w:jc w:val="center"/>
        <w:rPr>
          <w:rFonts w:ascii="Times New Roman" w:hAnsi="Times New Roman" w:cs="Times New Roman"/>
          <w:sz w:val="24"/>
          <w:szCs w:val="24"/>
        </w:rPr>
      </w:pPr>
      <w:r w:rsidRPr="00CB27FB">
        <w:rPr>
          <w:rFonts w:ascii="Times New Roman" w:hAnsi="Times New Roman" w:cs="Times New Roman"/>
          <w:sz w:val="24"/>
          <w:szCs w:val="24"/>
        </w:rPr>
        <w:t>Advanced Data Analysis</w:t>
      </w:r>
    </w:p>
    <w:p w14:paraId="4F6C5A39" w14:textId="498C0B42" w:rsidR="00CB27FB" w:rsidRDefault="00CB27FB" w:rsidP="00CB27FB">
      <w:pPr>
        <w:jc w:val="center"/>
        <w:rPr>
          <w:rFonts w:ascii="Times New Roman" w:hAnsi="Times New Roman" w:cs="Times New Roman"/>
          <w:sz w:val="24"/>
          <w:szCs w:val="24"/>
        </w:rPr>
      </w:pPr>
      <w:r>
        <w:rPr>
          <w:rFonts w:ascii="Times New Roman" w:hAnsi="Times New Roman" w:cs="Times New Roman"/>
          <w:sz w:val="24"/>
          <w:szCs w:val="24"/>
        </w:rPr>
        <w:t>April</w:t>
      </w:r>
      <w:r w:rsidRPr="00CB27FB">
        <w:rPr>
          <w:rFonts w:ascii="Times New Roman" w:hAnsi="Times New Roman" w:cs="Times New Roman"/>
          <w:sz w:val="24"/>
          <w:szCs w:val="24"/>
        </w:rPr>
        <w:t xml:space="preserve"> 2</w:t>
      </w:r>
      <w:r>
        <w:rPr>
          <w:rFonts w:ascii="Times New Roman" w:hAnsi="Times New Roman" w:cs="Times New Roman"/>
          <w:sz w:val="24"/>
          <w:szCs w:val="24"/>
        </w:rPr>
        <w:t>8</w:t>
      </w:r>
      <w:r w:rsidRPr="00CB27FB">
        <w:rPr>
          <w:rFonts w:ascii="Times New Roman" w:hAnsi="Times New Roman" w:cs="Times New Roman"/>
          <w:sz w:val="24"/>
          <w:szCs w:val="24"/>
        </w:rPr>
        <w:t>, 2020</w:t>
      </w:r>
    </w:p>
    <w:p w14:paraId="05F7ACE9" w14:textId="1C98C92E" w:rsidR="00CB27FB" w:rsidRDefault="00CB27FB">
      <w:pPr>
        <w:rPr>
          <w:rFonts w:ascii="Times New Roman" w:hAnsi="Times New Roman" w:cs="Times New Roman"/>
          <w:sz w:val="24"/>
          <w:szCs w:val="24"/>
        </w:rPr>
      </w:pPr>
      <w:r>
        <w:rPr>
          <w:rFonts w:ascii="Times New Roman" w:hAnsi="Times New Roman" w:cs="Times New Roman"/>
          <w:sz w:val="24"/>
          <w:szCs w:val="24"/>
        </w:rPr>
        <w:br w:type="page"/>
      </w:r>
    </w:p>
    <w:p w14:paraId="3434692C" w14:textId="2FE7E40F" w:rsidR="00CB27FB" w:rsidRPr="00CB27FB" w:rsidRDefault="00CB27FB" w:rsidP="00CB27F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51EE523" w14:textId="2EF01D28" w:rsidR="00CB27FB" w:rsidRDefault="00CB27FB" w:rsidP="00CB27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novel coronavirus and its resulting disease, COVID-19, are a significant threat to the health and wellbeing of the United States with recent models suggesting that the healthcare system would be overwhelmed and millions could die without significant action from federal, state, and local governments.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nytimes.com/interactive/2020/03/20/us/coronavirus-model-us-outbreak.html","accessed":{"date-parts":[["2020","3","24"]]},"author":[{"dropping-particle":"","family":"Glanz","given":"James","non-dropping-particle":"","parse-names":false,"suffix":""},{"dropping-particle":"","family":"Leatherby","given":"Lauren","non-dropping-particle":"","parse-names":false,"suffix":""},{"dropping-particle":"","family":"Bloch","given":"Matthew","non-dropping-particle":"","parse-names":false,"suffix":""},{"dropping-particle":"","family":"Smith","given":"Mitch","non-dropping-particle":"","parse-names":false,"suffix":""},{"dropping-particle":"","family":"Buchanan","given":"Larry","non-dropping-particle":"","parse-names":false,"suffix":""},{"dropping-particle":"","family":"Wu","given":"Jin","non-dropping-particle":"","parse-names":false,"suffix":""},{"dropping-particle":"","family":"Bogel-Burroughs","given":"Nicholas","non-dropping-particle":"","parse-names":false,"suffix":""}],"container-title":"The New York Times","id":"ITEM-1","issued":{"date-parts":[["2020","3","20"]]},"title":"Coronavirus Could Overwhelm U.S. Without Urgent Action, Estimates Say","type":"webpage"},"uris":["http://www.mendeley.com/documents/?uuid=17fa4d0a-eef4-3905-adc2-2778f89ee748"]},{"id":"ITEM-2","itemData":{"URL":"https://www.nytimes.com/2020/03/16/us/coronavirus-fatality-rate-white-house.html","accessed":{"date-parts":[["2020","3","24"]]},"author":[{"dropping-particle":"","family":"Fink","given":"Sheri","non-dropping-particle":"","parse-names":false,"suffix":""}],"container-title":"The New York Times","id":"ITEM-2","issued":{"date-parts":[["2020","3","16"]]},"title":"White House Takes New Line After Dire Report on Death Toll ","type":"webpage"},"uris":["http://www.mendeley.com/documents/?uuid=50607fcf-de44-3c6b-83a9-048aac4a9fe1"]}],"mendeley":{"formattedCitation":"&lt;sup&gt;1,2&lt;/sup&gt;","plainTextFormattedCitation":"1,2","previouslyFormattedCitation":"&lt;sup&gt;1,2&lt;/sup&gt;"},"properties":{"noteIndex":0},"schema":"https://github.com/citation-style-language/schema/raw/master/csl-citation.json"}</w:instrText>
      </w:r>
      <w:r>
        <w:rPr>
          <w:rFonts w:ascii="Times New Roman" w:hAnsi="Times New Roman" w:cs="Times New Roman"/>
          <w:sz w:val="24"/>
          <w:szCs w:val="24"/>
        </w:rPr>
        <w:fldChar w:fldCharType="separate"/>
      </w:r>
      <w:r w:rsidRPr="00B63B34">
        <w:rPr>
          <w:rFonts w:ascii="Times New Roman" w:hAnsi="Times New Roman" w:cs="Times New Roman"/>
          <w:noProof/>
          <w:sz w:val="24"/>
          <w:szCs w:val="24"/>
          <w:vertAlign w:val="superscript"/>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Given the very real possibility that the U.S. will face multiple waves of the disease before a vaccine is available,</w:t>
      </w:r>
      <w:r>
        <w:rPr>
          <w:rFonts w:ascii="Times New Roman" w:hAnsi="Times New Roman" w:cs="Times New Roman"/>
          <w:sz w:val="24"/>
          <w:szCs w:val="24"/>
        </w:rPr>
        <w:fldChar w:fldCharType="begin" w:fldLock="1"/>
      </w:r>
      <w:r w:rsidR="00393CB4">
        <w:rPr>
          <w:rFonts w:ascii="Times New Roman" w:hAnsi="Times New Roman" w:cs="Times New Roman"/>
          <w:sz w:val="24"/>
          <w:szCs w:val="24"/>
        </w:rPr>
        <w:instrText>ADDIN CSL_CITATION {"citationItems":[{"id":"ITEM-1","itemData":{"author":[{"dropping-particle":"","family":"Department of Health and Human Services","given":"","non-dropping-particle":"","parse-names":false,"suffix":""}],"id":"ITEM-1","issued":{"date-parts":[["2020","3","13"]]},"title":"PanCAP Adapted U.S. Government COVID-19 Response Plan","type":"report"},"uris":["http://www.mendeley.com/documents/?uuid=042eebed-0bf7-354b-87eb-85c5b7b61e69"]}],"mendeley":{"formattedCitation":"&lt;sup&gt;3&lt;/sup&gt;","plainTextFormattedCitation":"3","previouslyFormattedCitation":"&lt;sup&gt;3&lt;/sup&gt;"},"properties":{"noteIndex":0},"schema":"https://github.com/citation-style-language/schema/raw/master/csl-citation.json"}</w:instrText>
      </w:r>
      <w:r>
        <w:rPr>
          <w:rFonts w:ascii="Times New Roman" w:hAnsi="Times New Roman" w:cs="Times New Roman"/>
          <w:sz w:val="24"/>
          <w:szCs w:val="24"/>
        </w:rPr>
        <w:fldChar w:fldCharType="separate"/>
      </w:r>
      <w:r w:rsidRPr="00437349">
        <w:rPr>
          <w:rFonts w:ascii="Times New Roman" w:hAnsi="Times New Roman" w:cs="Times New Roman"/>
          <w:noProof/>
          <w:sz w:val="24"/>
          <w:szCs w:val="24"/>
          <w:vertAlign w:val="superscript"/>
        </w:rPr>
        <w:t>3</w:t>
      </w:r>
      <w:r>
        <w:rPr>
          <w:rFonts w:ascii="Times New Roman" w:hAnsi="Times New Roman" w:cs="Times New Roman"/>
          <w:sz w:val="24"/>
          <w:szCs w:val="24"/>
        </w:rPr>
        <w:fldChar w:fldCharType="end"/>
      </w:r>
      <w:r>
        <w:rPr>
          <w:rFonts w:ascii="Times New Roman" w:hAnsi="Times New Roman" w:cs="Times New Roman"/>
          <w:sz w:val="24"/>
          <w:szCs w:val="24"/>
        </w:rPr>
        <w:t xml:space="preserve"> it is essential to determine which factors increased the inciden</w:t>
      </w:r>
      <w:r w:rsidR="00E4219D">
        <w:rPr>
          <w:rFonts w:ascii="Times New Roman" w:hAnsi="Times New Roman" w:cs="Times New Roman"/>
          <w:sz w:val="24"/>
          <w:szCs w:val="24"/>
        </w:rPr>
        <w:t xml:space="preserve">ce and prevalence </w:t>
      </w:r>
      <w:r>
        <w:rPr>
          <w:rFonts w:ascii="Times New Roman" w:hAnsi="Times New Roman" w:cs="Times New Roman"/>
          <w:sz w:val="24"/>
          <w:szCs w:val="24"/>
        </w:rPr>
        <w:t>rate</w:t>
      </w:r>
      <w:r w:rsidR="00E4219D">
        <w:rPr>
          <w:rFonts w:ascii="Times New Roman" w:hAnsi="Times New Roman" w:cs="Times New Roman"/>
          <w:sz w:val="24"/>
          <w:szCs w:val="24"/>
        </w:rPr>
        <w:t>s</w:t>
      </w:r>
      <w:r>
        <w:rPr>
          <w:rFonts w:ascii="Times New Roman" w:hAnsi="Times New Roman" w:cs="Times New Roman"/>
          <w:sz w:val="24"/>
          <w:szCs w:val="24"/>
        </w:rPr>
        <w:t xml:space="preserve"> of the disease, so that state and local governments can take appropriate preventative action.</w:t>
      </w:r>
      <w:r w:rsidR="00393CB4">
        <w:rPr>
          <w:rFonts w:ascii="Times New Roman" w:hAnsi="Times New Roman" w:cs="Times New Roman"/>
          <w:sz w:val="24"/>
          <w:szCs w:val="24"/>
        </w:rPr>
        <w:t xml:space="preserve"> </w:t>
      </w:r>
      <w:r>
        <w:rPr>
          <w:rFonts w:ascii="Times New Roman" w:hAnsi="Times New Roman" w:cs="Times New Roman"/>
          <w:sz w:val="24"/>
          <w:szCs w:val="24"/>
        </w:rPr>
        <w:t xml:space="preserve">If high public transit use is significantly associated with increased COVID-19 incidence, then </w:t>
      </w:r>
      <w:r w:rsidR="009242F1">
        <w:rPr>
          <w:rFonts w:ascii="Times New Roman" w:hAnsi="Times New Roman" w:cs="Times New Roman"/>
          <w:sz w:val="24"/>
          <w:szCs w:val="24"/>
        </w:rPr>
        <w:t>transit co</w:t>
      </w:r>
      <w:r>
        <w:rPr>
          <w:rFonts w:ascii="Times New Roman" w:hAnsi="Times New Roman" w:cs="Times New Roman"/>
          <w:sz w:val="24"/>
          <w:szCs w:val="24"/>
        </w:rPr>
        <w:t xml:space="preserve">uld be a high impact target for future prevention interventions. </w:t>
      </w:r>
      <w:r w:rsidR="00E4219D">
        <w:rPr>
          <w:rFonts w:ascii="Times New Roman" w:hAnsi="Times New Roman" w:cs="Times New Roman"/>
          <w:sz w:val="24"/>
          <w:szCs w:val="24"/>
        </w:rPr>
        <w:t xml:space="preserve"> However, if public transit use is not associated with COVID-19 incidence or prevalence rate, then current measures, such as increasing disinfection of buses and stations and encouraging mask wearing,</w:t>
      </w:r>
      <w:r w:rsidR="00E4219D">
        <w:rPr>
          <w:rFonts w:ascii="Times New Roman" w:hAnsi="Times New Roman" w:cs="Times New Roman"/>
          <w:sz w:val="24"/>
          <w:szCs w:val="24"/>
        </w:rPr>
        <w:fldChar w:fldCharType="begin" w:fldLock="1"/>
      </w:r>
      <w:r w:rsidR="003D461F">
        <w:rPr>
          <w:rFonts w:ascii="Times New Roman" w:hAnsi="Times New Roman" w:cs="Times New Roman"/>
          <w:sz w:val="24"/>
          <w:szCs w:val="24"/>
        </w:rPr>
        <w:instrText>ADDIN CSL_CITATION {"citationItems":[{"id":"ITEM-1","itemData":{"URL":"https://www.citylab.com/perspective/2020/04/coronavirus-public-transit-ridership-federal-funding-bus-subways/610453/","accessed":{"date-parts":[["2020","4","29"]]},"author":[{"dropping-particle":"","family":"Levy","given":"Alon","non-dropping-particle":"","parse-names":false,"suffix":""},{"dropping-particle":"","family":"Goldwyn","given":"Eric","non-dropping-particle":"","parse-names":false,"suffix":""}],"container-title":"City Lab","id":"ITEM-1","issued":{"date-parts":[["2020","4","24"]]},"title":"How U.S. Public Transit Can Survive Coronavirus","type":"webpage"},"uris":["http://www.mendeley.com/documents/?uuid=1fb3bbdc-9952-3cde-a6ef-d169a66fdb5e"]}],"mendeley":{"formattedCitation":"&lt;sup&gt;4&lt;/sup&gt;","plainTextFormattedCitation":"4","previouslyFormattedCitation":"&lt;sup&gt;4&lt;/sup&gt;"},"properties":{"noteIndex":0},"schema":"https://github.com/citation-style-language/schema/raw/master/csl-citation.json"}</w:instrText>
      </w:r>
      <w:r w:rsidR="00E4219D">
        <w:rPr>
          <w:rFonts w:ascii="Times New Roman" w:hAnsi="Times New Roman" w:cs="Times New Roman"/>
          <w:sz w:val="24"/>
          <w:szCs w:val="24"/>
        </w:rPr>
        <w:fldChar w:fldCharType="separate"/>
      </w:r>
      <w:r w:rsidR="00E4219D" w:rsidRPr="00E4219D">
        <w:rPr>
          <w:rFonts w:ascii="Times New Roman" w:hAnsi="Times New Roman" w:cs="Times New Roman"/>
          <w:noProof/>
          <w:sz w:val="24"/>
          <w:szCs w:val="24"/>
          <w:vertAlign w:val="superscript"/>
        </w:rPr>
        <w:t>4</w:t>
      </w:r>
      <w:r w:rsidR="00E4219D">
        <w:rPr>
          <w:rFonts w:ascii="Times New Roman" w:hAnsi="Times New Roman" w:cs="Times New Roman"/>
          <w:sz w:val="24"/>
          <w:szCs w:val="24"/>
        </w:rPr>
        <w:fldChar w:fldCharType="end"/>
      </w:r>
      <w:r w:rsidR="00E4219D">
        <w:rPr>
          <w:rFonts w:ascii="Times New Roman" w:hAnsi="Times New Roman" w:cs="Times New Roman"/>
          <w:sz w:val="24"/>
          <w:szCs w:val="24"/>
        </w:rPr>
        <w:t xml:space="preserve"> may be sufficient. This could potentially indicate that cities could start bringing back routes and increasing service, as well as making efforts to attract riders again, as current ridership is significantly decreased, placing a financial strain on many public transit systems.</w:t>
      </w:r>
      <w:r w:rsidR="00E4219D">
        <w:rPr>
          <w:rFonts w:ascii="Times New Roman" w:hAnsi="Times New Roman" w:cs="Times New Roman"/>
          <w:sz w:val="24"/>
          <w:szCs w:val="24"/>
        </w:rPr>
        <w:fldChar w:fldCharType="begin" w:fldLock="1"/>
      </w:r>
      <w:r w:rsidR="00E4219D">
        <w:rPr>
          <w:rFonts w:ascii="Times New Roman" w:hAnsi="Times New Roman" w:cs="Times New Roman"/>
          <w:sz w:val="24"/>
          <w:szCs w:val="24"/>
        </w:rPr>
        <w:instrText>ADDIN CSL_CITATION {"citationItems":[{"id":"ITEM-1","itemData":{"URL":"https://www.citylab.com/perspective/2020/04/coronavirus-public-transit-ridership-federal-funding-bus-subways/610453/","accessed":{"date-parts":[["2020","4","29"]]},"author":[{"dropping-particle":"","family":"Levy","given":"Alon","non-dropping-particle":"","parse-names":false,"suffix":""},{"dropping-particle":"","family":"Goldwyn","given":"Eric","non-dropping-particle":"","parse-names":false,"suffix":""}],"container-title":"City Lab","id":"ITEM-1","issued":{"date-parts":[["2020","4","24"]]},"title":"How U.S. Public Transit Can Survive Coronavirus","type":"webpage"},"uris":["http://www.mendeley.com/documents/?uuid=1fb3bbdc-9952-3cde-a6ef-d169a66fdb5e"]}],"mendeley":{"formattedCitation":"&lt;sup&gt;4&lt;/sup&gt;","plainTextFormattedCitation":"4","previouslyFormattedCitation":"&lt;sup&gt;4&lt;/sup&gt;"},"properties":{"noteIndex":0},"schema":"https://github.com/citation-style-language/schema/raw/master/csl-citation.json"}</w:instrText>
      </w:r>
      <w:r w:rsidR="00E4219D">
        <w:rPr>
          <w:rFonts w:ascii="Times New Roman" w:hAnsi="Times New Roman" w:cs="Times New Roman"/>
          <w:sz w:val="24"/>
          <w:szCs w:val="24"/>
        </w:rPr>
        <w:fldChar w:fldCharType="separate"/>
      </w:r>
      <w:r w:rsidR="00E4219D" w:rsidRPr="00E4219D">
        <w:rPr>
          <w:rFonts w:ascii="Times New Roman" w:hAnsi="Times New Roman" w:cs="Times New Roman"/>
          <w:noProof/>
          <w:sz w:val="24"/>
          <w:szCs w:val="24"/>
          <w:vertAlign w:val="superscript"/>
        </w:rPr>
        <w:t>4</w:t>
      </w:r>
      <w:r w:rsidR="00E4219D">
        <w:rPr>
          <w:rFonts w:ascii="Times New Roman" w:hAnsi="Times New Roman" w:cs="Times New Roman"/>
          <w:sz w:val="24"/>
          <w:szCs w:val="24"/>
        </w:rPr>
        <w:fldChar w:fldCharType="end"/>
      </w:r>
      <w:r w:rsidR="00E4219D">
        <w:rPr>
          <w:rFonts w:ascii="Times New Roman" w:hAnsi="Times New Roman" w:cs="Times New Roman"/>
          <w:sz w:val="24"/>
          <w:szCs w:val="24"/>
        </w:rPr>
        <w:t xml:space="preserve"> </w:t>
      </w:r>
      <w:r w:rsidR="00393CB4">
        <w:rPr>
          <w:rFonts w:ascii="Times New Roman" w:hAnsi="Times New Roman" w:cs="Times New Roman"/>
          <w:sz w:val="24"/>
          <w:szCs w:val="24"/>
        </w:rPr>
        <w:t>This is especially relevant now that states are starting to re-open a wide range of businesses,</w:t>
      </w:r>
      <w:r w:rsidR="00393CB4">
        <w:rPr>
          <w:rFonts w:ascii="Times New Roman" w:hAnsi="Times New Roman" w:cs="Times New Roman"/>
          <w:sz w:val="24"/>
          <w:szCs w:val="24"/>
        </w:rPr>
        <w:fldChar w:fldCharType="begin" w:fldLock="1"/>
      </w:r>
      <w:r w:rsidR="00E4219D">
        <w:rPr>
          <w:rFonts w:ascii="Times New Roman" w:hAnsi="Times New Roman" w:cs="Times New Roman"/>
          <w:sz w:val="24"/>
          <w:szCs w:val="24"/>
        </w:rPr>
        <w:instrText>ADDIN CSL_CITATION {"citationItems":[{"id":"ITEM-1","itemData":{"URL":"https://www.nytimes.com/interactive/2020/us/states-reopen-map-coronavirus.html","accessed":{"date-parts":[["2020","4","28"]]},"author":[{"dropping-particle":"","family":"Mervosh","given":"Sarah","non-dropping-particle":"","parse-names":false,"suffix":""},{"dropping-particle":"","family":"Lee","given":"Jasmine C.","non-dropping-particle":"","parse-names":false,"suffix":""}],"container-title":"The New York Times","id":"ITEM-1","issued":{"date-parts":[["2020","4","27"]]},"title":"See Which States Are Reopening and Which Are Still Shut Down","type":"webpage"},"uris":["http://www.mendeley.com/documents/?uuid=b55cc863-84a7-3206-9991-3dfa4e126b3c"]}],"mendeley":{"formattedCitation":"&lt;sup&gt;5&lt;/sup&gt;","plainTextFormattedCitation":"5","previouslyFormattedCitation":"&lt;sup&gt;5&lt;/sup&gt;"},"properties":{"noteIndex":0},"schema":"https://github.com/citation-style-language/schema/raw/master/csl-citation.json"}</w:instrText>
      </w:r>
      <w:r w:rsidR="00393CB4">
        <w:rPr>
          <w:rFonts w:ascii="Times New Roman" w:hAnsi="Times New Roman" w:cs="Times New Roman"/>
          <w:sz w:val="24"/>
          <w:szCs w:val="24"/>
        </w:rPr>
        <w:fldChar w:fldCharType="separate"/>
      </w:r>
      <w:r w:rsidR="00E4219D" w:rsidRPr="00E4219D">
        <w:rPr>
          <w:rFonts w:ascii="Times New Roman" w:hAnsi="Times New Roman" w:cs="Times New Roman"/>
          <w:noProof/>
          <w:sz w:val="24"/>
          <w:szCs w:val="24"/>
          <w:vertAlign w:val="superscript"/>
        </w:rPr>
        <w:t>5</w:t>
      </w:r>
      <w:r w:rsidR="00393CB4">
        <w:rPr>
          <w:rFonts w:ascii="Times New Roman" w:hAnsi="Times New Roman" w:cs="Times New Roman"/>
          <w:sz w:val="24"/>
          <w:szCs w:val="24"/>
        </w:rPr>
        <w:fldChar w:fldCharType="end"/>
      </w:r>
      <w:r w:rsidR="00393CB4">
        <w:rPr>
          <w:rFonts w:ascii="Times New Roman" w:hAnsi="Times New Roman" w:cs="Times New Roman"/>
          <w:sz w:val="24"/>
          <w:szCs w:val="24"/>
        </w:rPr>
        <w:t xml:space="preserve"> </w:t>
      </w:r>
      <w:r w:rsidR="00E4219D">
        <w:rPr>
          <w:rFonts w:ascii="Times New Roman" w:hAnsi="Times New Roman" w:cs="Times New Roman"/>
          <w:sz w:val="24"/>
          <w:szCs w:val="24"/>
        </w:rPr>
        <w:t xml:space="preserve">the increased travel associated with these openings mean that many public transit systems will soon need to make key decisions on what preventive measures to put in place and how broadly they themselves should reopen services. </w:t>
      </w:r>
    </w:p>
    <w:p w14:paraId="5AB09F43" w14:textId="355D5048" w:rsidR="00F35562" w:rsidRDefault="00F35562" w:rsidP="00CB27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determine the impact of public transit use on the spread of COVID-19, this paper will assess the relationship between state-level public transit use and both the incidence rate and prevalence rate 2 weeks after the first infection in the state.  If there is a significant association between public transit use and either incidence rate or prevalence rate at that point in time, then public transit use may be associated with the rate of spread </w:t>
      </w:r>
      <w:r w:rsidR="00863A2F">
        <w:rPr>
          <w:rFonts w:ascii="Times New Roman" w:hAnsi="Times New Roman" w:cs="Times New Roman"/>
          <w:sz w:val="24"/>
          <w:szCs w:val="24"/>
        </w:rPr>
        <w:t xml:space="preserve">of COVID-19. </w:t>
      </w:r>
    </w:p>
    <w:p w14:paraId="6F2F525F" w14:textId="57DDA646" w:rsidR="00441ABB" w:rsidRDefault="00CB27FB" w:rsidP="00CB27F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METHOD</w:t>
      </w:r>
      <w:r w:rsidR="00DE2124">
        <w:rPr>
          <w:rFonts w:ascii="Times New Roman" w:hAnsi="Times New Roman" w:cs="Times New Roman"/>
          <w:b/>
          <w:bCs/>
          <w:sz w:val="24"/>
          <w:szCs w:val="24"/>
        </w:rPr>
        <w:t>S</w:t>
      </w:r>
    </w:p>
    <w:p w14:paraId="6DA8B068" w14:textId="77777777" w:rsidR="00272C58" w:rsidRDefault="00863A2F" w:rsidP="00CB27FB">
      <w:pPr>
        <w:spacing w:line="480" w:lineRule="auto"/>
        <w:rPr>
          <w:rFonts w:ascii="Times New Roman" w:hAnsi="Times New Roman" w:cs="Times New Roman"/>
          <w:noProof/>
          <w:sz w:val="24"/>
          <w:szCs w:val="24"/>
        </w:rPr>
      </w:pPr>
      <w:r>
        <w:rPr>
          <w:noProof/>
        </w:rPr>
        <w:tab/>
      </w:r>
      <w:r>
        <w:rPr>
          <w:rFonts w:ascii="Times New Roman" w:hAnsi="Times New Roman" w:cs="Times New Roman"/>
          <w:noProof/>
          <w:sz w:val="24"/>
          <w:szCs w:val="24"/>
        </w:rPr>
        <w:t xml:space="preserve"> </w:t>
      </w:r>
      <w:r w:rsidRPr="00863A2F">
        <w:rPr>
          <w:rFonts w:ascii="Times New Roman" w:hAnsi="Times New Roman" w:cs="Times New Roman"/>
          <w:noProof/>
          <w:sz w:val="24"/>
          <w:szCs w:val="24"/>
        </w:rPr>
        <w:t>Impact of public transit was modeled at the state level.</w:t>
      </w:r>
      <w:r w:rsidR="0096168B">
        <w:rPr>
          <w:rFonts w:ascii="Times New Roman" w:hAnsi="Times New Roman" w:cs="Times New Roman"/>
          <w:noProof/>
          <w:sz w:val="24"/>
          <w:szCs w:val="24"/>
        </w:rPr>
        <w:t xml:space="preserve"> This included all fifty states and the District of Columbia. All states and the District of Columbia were included as data on the dependent variable, independent variable, and included covariates were easily available for them.  </w:t>
      </w:r>
      <w:r w:rsidRPr="00863A2F">
        <w:rPr>
          <w:rFonts w:ascii="Times New Roman" w:hAnsi="Times New Roman" w:cs="Times New Roman"/>
          <w:noProof/>
          <w:sz w:val="24"/>
          <w:szCs w:val="24"/>
        </w:rPr>
        <w:t xml:space="preserve"> Data on public transit use w</w:t>
      </w:r>
      <w:r>
        <w:rPr>
          <w:rFonts w:ascii="Times New Roman" w:hAnsi="Times New Roman" w:cs="Times New Roman"/>
          <w:noProof/>
          <w:sz w:val="24"/>
          <w:szCs w:val="24"/>
        </w:rPr>
        <w:t>ere</w:t>
      </w:r>
      <w:r w:rsidRPr="00863A2F">
        <w:rPr>
          <w:rFonts w:ascii="Times New Roman" w:hAnsi="Times New Roman" w:cs="Times New Roman"/>
          <w:noProof/>
          <w:sz w:val="24"/>
          <w:szCs w:val="24"/>
        </w:rPr>
        <w:t xml:space="preserve"> collected from the U.S. Department of Transportation.</w:t>
      </w:r>
      <w:r w:rsidR="003136D5">
        <w:rPr>
          <w:rFonts w:ascii="Times New Roman" w:hAnsi="Times New Roman" w:cs="Times New Roman"/>
          <w:noProof/>
          <w:sz w:val="24"/>
          <w:szCs w:val="24"/>
        </w:rPr>
        <w:fldChar w:fldCharType="begin" w:fldLock="1"/>
      </w:r>
      <w:r w:rsidR="00E4219D">
        <w:rPr>
          <w:rFonts w:ascii="Times New Roman" w:hAnsi="Times New Roman" w:cs="Times New Roman"/>
          <w:noProof/>
          <w:sz w:val="24"/>
          <w:szCs w:val="24"/>
        </w:rPr>
        <w:instrText>ADDIN CSL_CITATION {"citationItems":[{"id":"ITEM-1","itemData":{"URL":"https://www.bts.gov/content/commuting-work","accessed":{"date-parts":[["2020","4","28"]]},"author":[{"dropping-particle":"","family":"United States Department of Transportation Statistics","given":"","non-dropping-particle":"","parse-names":false,"suffix":""}],"container-title":"Bureau of Transportation Statistics","id":"ITEM-1","issued":{"date-parts":[["2013"]]},"title":"Commuting to Work","type":"webpage"},"uris":["http://www.mendeley.com/documents/?uuid=876a8fd2-c1e5-37a6-a73d-93419cb82b8a"]}],"mendeley":{"formattedCitation":"&lt;sup&gt;6&lt;/sup&gt;","plainTextFormattedCitation":"6","previouslyFormattedCitation":"&lt;sup&gt;6&lt;/sup&gt;"},"properties":{"noteIndex":0},"schema":"https://github.com/citation-style-language/schema/raw/master/csl-citation.json"}</w:instrText>
      </w:r>
      <w:r w:rsidR="003136D5">
        <w:rPr>
          <w:rFonts w:ascii="Times New Roman" w:hAnsi="Times New Roman" w:cs="Times New Roman"/>
          <w:noProof/>
          <w:sz w:val="24"/>
          <w:szCs w:val="24"/>
        </w:rPr>
        <w:fldChar w:fldCharType="separate"/>
      </w:r>
      <w:r w:rsidR="00E4219D" w:rsidRPr="00E4219D">
        <w:rPr>
          <w:rFonts w:ascii="Times New Roman" w:hAnsi="Times New Roman" w:cs="Times New Roman"/>
          <w:noProof/>
          <w:sz w:val="24"/>
          <w:szCs w:val="24"/>
          <w:vertAlign w:val="superscript"/>
        </w:rPr>
        <w:t>6</w:t>
      </w:r>
      <w:r w:rsidR="003136D5">
        <w:rPr>
          <w:rFonts w:ascii="Times New Roman" w:hAnsi="Times New Roman" w:cs="Times New Roman"/>
          <w:noProof/>
          <w:sz w:val="24"/>
          <w:szCs w:val="24"/>
        </w:rPr>
        <w:fldChar w:fldCharType="end"/>
      </w:r>
      <w:r w:rsidRPr="00863A2F">
        <w:rPr>
          <w:rFonts w:ascii="Times New Roman" w:hAnsi="Times New Roman" w:cs="Times New Roman"/>
          <w:noProof/>
          <w:sz w:val="24"/>
          <w:szCs w:val="24"/>
        </w:rPr>
        <w:t xml:space="preserve"> </w:t>
      </w:r>
      <w:r w:rsidR="00375FEB">
        <w:rPr>
          <w:rFonts w:ascii="Times New Roman" w:hAnsi="Times New Roman" w:cs="Times New Roman"/>
          <w:noProof/>
          <w:sz w:val="24"/>
          <w:szCs w:val="24"/>
        </w:rPr>
        <w:t>Public transit use was defined as the percentage of workers who use public transportation (buses, metro, subway etc.) in their commute to work.</w:t>
      </w:r>
      <w:r w:rsidR="00822B5A">
        <w:rPr>
          <w:rFonts w:ascii="Times New Roman" w:hAnsi="Times New Roman" w:cs="Times New Roman"/>
          <w:noProof/>
          <w:sz w:val="24"/>
          <w:szCs w:val="24"/>
        </w:rPr>
        <w:t xml:space="preserve"> This definition excludes taxis or active transportation, like walking or biking. </w:t>
      </w:r>
      <w:r w:rsidR="00375FEB">
        <w:rPr>
          <w:rFonts w:ascii="Times New Roman" w:hAnsi="Times New Roman" w:cs="Times New Roman"/>
          <w:noProof/>
          <w:sz w:val="24"/>
          <w:szCs w:val="24"/>
        </w:rPr>
        <w:t xml:space="preserve"> </w:t>
      </w:r>
    </w:p>
    <w:p w14:paraId="402645A6" w14:textId="531083C4" w:rsidR="00272C58" w:rsidRDefault="00863A2F" w:rsidP="00272C58">
      <w:pPr>
        <w:spacing w:line="480" w:lineRule="auto"/>
        <w:ind w:firstLine="720"/>
        <w:rPr>
          <w:rFonts w:ascii="Times New Roman" w:hAnsi="Times New Roman" w:cs="Times New Roman"/>
          <w:noProof/>
          <w:sz w:val="24"/>
          <w:szCs w:val="24"/>
        </w:rPr>
      </w:pPr>
      <w:r w:rsidRPr="00863A2F">
        <w:rPr>
          <w:rFonts w:ascii="Times New Roman" w:hAnsi="Times New Roman" w:cs="Times New Roman"/>
          <w:noProof/>
          <w:sz w:val="24"/>
          <w:szCs w:val="24"/>
        </w:rPr>
        <w:t>Inciden</w:t>
      </w:r>
      <w:r w:rsidR="003136D5">
        <w:rPr>
          <w:rFonts w:ascii="Times New Roman" w:hAnsi="Times New Roman" w:cs="Times New Roman"/>
          <w:noProof/>
          <w:sz w:val="24"/>
          <w:szCs w:val="24"/>
        </w:rPr>
        <w:t>ce</w:t>
      </w:r>
      <w:r w:rsidRPr="00863A2F">
        <w:rPr>
          <w:rFonts w:ascii="Times New Roman" w:hAnsi="Times New Roman" w:cs="Times New Roman"/>
          <w:noProof/>
          <w:sz w:val="24"/>
          <w:szCs w:val="24"/>
        </w:rPr>
        <w:t xml:space="preserve"> </w:t>
      </w:r>
      <w:r w:rsidR="00700CBD">
        <w:rPr>
          <w:rFonts w:ascii="Times New Roman" w:hAnsi="Times New Roman" w:cs="Times New Roman"/>
          <w:noProof/>
          <w:sz w:val="24"/>
          <w:szCs w:val="24"/>
        </w:rPr>
        <w:t>r</w:t>
      </w:r>
      <w:r w:rsidRPr="00863A2F">
        <w:rPr>
          <w:rFonts w:ascii="Times New Roman" w:hAnsi="Times New Roman" w:cs="Times New Roman"/>
          <w:noProof/>
          <w:sz w:val="24"/>
          <w:szCs w:val="24"/>
        </w:rPr>
        <w:t>ate</w:t>
      </w:r>
      <w:r w:rsidR="00700CBD">
        <w:rPr>
          <w:rFonts w:ascii="Times New Roman" w:hAnsi="Times New Roman" w:cs="Times New Roman"/>
          <w:noProof/>
          <w:sz w:val="24"/>
          <w:szCs w:val="24"/>
        </w:rPr>
        <w:t xml:space="preserve"> and</w:t>
      </w:r>
      <w:r w:rsidRPr="00863A2F">
        <w:rPr>
          <w:rFonts w:ascii="Times New Roman" w:hAnsi="Times New Roman" w:cs="Times New Roman"/>
          <w:noProof/>
          <w:sz w:val="24"/>
          <w:szCs w:val="24"/>
        </w:rPr>
        <w:t xml:space="preserve"> </w:t>
      </w:r>
      <w:r w:rsidR="00700CBD">
        <w:rPr>
          <w:rFonts w:ascii="Times New Roman" w:hAnsi="Times New Roman" w:cs="Times New Roman"/>
          <w:noProof/>
          <w:sz w:val="24"/>
          <w:szCs w:val="24"/>
        </w:rPr>
        <w:t xml:space="preserve">prevalence rate </w:t>
      </w:r>
      <w:r w:rsidRPr="00863A2F">
        <w:rPr>
          <w:rFonts w:ascii="Times New Roman" w:hAnsi="Times New Roman" w:cs="Times New Roman"/>
          <w:noProof/>
          <w:sz w:val="24"/>
          <w:szCs w:val="24"/>
        </w:rPr>
        <w:t>w</w:t>
      </w:r>
      <w:r w:rsidR="00700CBD">
        <w:rPr>
          <w:rFonts w:ascii="Times New Roman" w:hAnsi="Times New Roman" w:cs="Times New Roman"/>
          <w:noProof/>
          <w:sz w:val="24"/>
          <w:szCs w:val="24"/>
        </w:rPr>
        <w:t>ere</w:t>
      </w:r>
      <w:r w:rsidRPr="00863A2F">
        <w:rPr>
          <w:rFonts w:ascii="Times New Roman" w:hAnsi="Times New Roman" w:cs="Times New Roman"/>
          <w:noProof/>
          <w:sz w:val="24"/>
          <w:szCs w:val="24"/>
        </w:rPr>
        <w:t xml:space="preserve"> calculated as the inciden</w:t>
      </w:r>
      <w:r w:rsidR="00822B5A">
        <w:rPr>
          <w:rFonts w:ascii="Times New Roman" w:hAnsi="Times New Roman" w:cs="Times New Roman"/>
          <w:noProof/>
          <w:sz w:val="24"/>
          <w:szCs w:val="24"/>
        </w:rPr>
        <w:t>ce</w:t>
      </w:r>
      <w:r w:rsidRPr="00863A2F">
        <w:rPr>
          <w:rFonts w:ascii="Times New Roman" w:hAnsi="Times New Roman" w:cs="Times New Roman"/>
          <w:noProof/>
          <w:sz w:val="24"/>
          <w:szCs w:val="24"/>
        </w:rPr>
        <w:t xml:space="preserve"> rate</w:t>
      </w:r>
      <w:r w:rsidR="00700CBD">
        <w:rPr>
          <w:rFonts w:ascii="Times New Roman" w:hAnsi="Times New Roman" w:cs="Times New Roman"/>
          <w:noProof/>
          <w:sz w:val="24"/>
          <w:szCs w:val="24"/>
        </w:rPr>
        <w:t xml:space="preserve"> or prevalence rate</w:t>
      </w:r>
      <w:r w:rsidRPr="00863A2F">
        <w:rPr>
          <w:rFonts w:ascii="Times New Roman" w:hAnsi="Times New Roman" w:cs="Times New Roman"/>
          <w:noProof/>
          <w:sz w:val="24"/>
          <w:szCs w:val="24"/>
        </w:rPr>
        <w:t xml:space="preserve"> 2 weeks after the first confirmed case of COVID-19 </w:t>
      </w:r>
      <w:r w:rsidR="00822B5A">
        <w:rPr>
          <w:rFonts w:ascii="Times New Roman" w:hAnsi="Times New Roman" w:cs="Times New Roman"/>
          <w:noProof/>
          <w:sz w:val="24"/>
          <w:szCs w:val="24"/>
        </w:rPr>
        <w:t xml:space="preserve">in that state </w:t>
      </w:r>
      <w:r w:rsidR="003136D5">
        <w:rPr>
          <w:rFonts w:ascii="Times New Roman" w:hAnsi="Times New Roman" w:cs="Times New Roman"/>
          <w:noProof/>
          <w:sz w:val="24"/>
          <w:szCs w:val="24"/>
        </w:rPr>
        <w:t>from</w:t>
      </w:r>
      <w:r w:rsidRPr="00863A2F">
        <w:rPr>
          <w:rFonts w:ascii="Times New Roman" w:hAnsi="Times New Roman" w:cs="Times New Roman"/>
          <w:noProof/>
          <w:sz w:val="24"/>
          <w:szCs w:val="24"/>
        </w:rPr>
        <w:t xml:space="preserve"> data collected by the New York Times</w:t>
      </w:r>
      <w:r w:rsidR="003136D5">
        <w:rPr>
          <w:rFonts w:ascii="Times New Roman" w:hAnsi="Times New Roman" w:cs="Times New Roman"/>
          <w:noProof/>
          <w:sz w:val="24"/>
          <w:szCs w:val="24"/>
        </w:rPr>
        <w:t xml:space="preserve"> </w:t>
      </w:r>
      <w:r w:rsidR="003136D5" w:rsidRPr="003136D5">
        <w:rPr>
          <w:rFonts w:ascii="Times New Roman" w:hAnsi="Times New Roman" w:cs="Times New Roman"/>
          <w:noProof/>
          <w:sz w:val="24"/>
          <w:szCs w:val="24"/>
        </w:rPr>
        <w:t>based on reports from state and local health agencies</w:t>
      </w:r>
      <w:r w:rsidRPr="00863A2F">
        <w:rPr>
          <w:rFonts w:ascii="Times New Roman" w:hAnsi="Times New Roman" w:cs="Times New Roman"/>
          <w:noProof/>
          <w:sz w:val="24"/>
          <w:szCs w:val="24"/>
        </w:rPr>
        <w:t>.</w:t>
      </w:r>
      <w:r w:rsidR="003136D5">
        <w:rPr>
          <w:rFonts w:ascii="Times New Roman" w:hAnsi="Times New Roman" w:cs="Times New Roman"/>
          <w:noProof/>
          <w:sz w:val="24"/>
          <w:szCs w:val="24"/>
        </w:rPr>
        <w:fldChar w:fldCharType="begin" w:fldLock="1"/>
      </w:r>
      <w:r w:rsidR="00E4219D">
        <w:rPr>
          <w:rFonts w:ascii="Times New Roman" w:hAnsi="Times New Roman" w:cs="Times New Roman"/>
          <w:noProof/>
          <w:sz w:val="24"/>
          <w:szCs w:val="24"/>
        </w:rPr>
        <w:instrText>ADDIN CSL_CITATION {"citationItems":[{"id":"ITEM-1","itemData":{"URL":"https://github.com/nytimes/covid-19-data/blob/master/README.md","accessed":{"date-parts":[["2020","4","28"]]},"author":[{"dropping-particle":"","family":"The New York Times","given":"","non-dropping-particle":"","parse-names":false,"suffix":""}],"id":"ITEM-1","issued":{"date-parts":[["0"]]},"title":"Coronavirus (Covid-19) Data in the United States","type":"webpage"},"uris":["http://www.mendeley.com/documents/?uuid=d1d9c5fe-a09f-3c7f-a23a-4cf4a98602a4"]}],"mendeley":{"formattedCitation":"&lt;sup&gt;7&lt;/sup&gt;","plainTextFormattedCitation":"7","previouslyFormattedCitation":"&lt;sup&gt;7&lt;/sup&gt;"},"properties":{"noteIndex":0},"schema":"https://github.com/citation-style-language/schema/raw/master/csl-citation.json"}</w:instrText>
      </w:r>
      <w:r w:rsidR="003136D5">
        <w:rPr>
          <w:rFonts w:ascii="Times New Roman" w:hAnsi="Times New Roman" w:cs="Times New Roman"/>
          <w:noProof/>
          <w:sz w:val="24"/>
          <w:szCs w:val="24"/>
        </w:rPr>
        <w:fldChar w:fldCharType="separate"/>
      </w:r>
      <w:r w:rsidR="00E4219D" w:rsidRPr="00E4219D">
        <w:rPr>
          <w:rFonts w:ascii="Times New Roman" w:hAnsi="Times New Roman" w:cs="Times New Roman"/>
          <w:noProof/>
          <w:sz w:val="24"/>
          <w:szCs w:val="24"/>
          <w:vertAlign w:val="superscript"/>
        </w:rPr>
        <w:t>7</w:t>
      </w:r>
      <w:r w:rsidR="003136D5">
        <w:rPr>
          <w:rFonts w:ascii="Times New Roman" w:hAnsi="Times New Roman" w:cs="Times New Roman"/>
          <w:noProof/>
          <w:sz w:val="24"/>
          <w:szCs w:val="24"/>
        </w:rPr>
        <w:fldChar w:fldCharType="end"/>
      </w:r>
      <w:r w:rsidRPr="00863A2F">
        <w:rPr>
          <w:rFonts w:ascii="Times New Roman" w:hAnsi="Times New Roman" w:cs="Times New Roman"/>
          <w:noProof/>
          <w:sz w:val="24"/>
          <w:szCs w:val="24"/>
        </w:rPr>
        <w:t xml:space="preserve"> </w:t>
      </w:r>
      <w:r w:rsidR="00822B5A">
        <w:rPr>
          <w:rFonts w:ascii="Times New Roman" w:hAnsi="Times New Roman" w:cs="Times New Roman"/>
          <w:noProof/>
          <w:sz w:val="24"/>
          <w:szCs w:val="24"/>
        </w:rPr>
        <w:t xml:space="preserve"> </w:t>
      </w:r>
      <w:r w:rsidR="009242F1">
        <w:rPr>
          <w:rFonts w:ascii="Times New Roman" w:hAnsi="Times New Roman" w:cs="Times New Roman"/>
          <w:noProof/>
          <w:sz w:val="24"/>
          <w:szCs w:val="24"/>
        </w:rPr>
        <w:t>T</w:t>
      </w:r>
      <w:r w:rsidR="00822B5A">
        <w:rPr>
          <w:rFonts w:ascii="Times New Roman" w:hAnsi="Times New Roman" w:cs="Times New Roman"/>
          <w:noProof/>
          <w:sz w:val="24"/>
          <w:szCs w:val="24"/>
        </w:rPr>
        <w:t xml:space="preserve">wo weeks was selected in order to compare the states at a similar amount of time after the first case and a time early enough in the pandemic that incidence rates had not already peaked. However, since </w:t>
      </w:r>
      <w:r w:rsidR="00272C58">
        <w:rPr>
          <w:rFonts w:ascii="Times New Roman" w:hAnsi="Times New Roman" w:cs="Times New Roman"/>
          <w:noProof/>
          <w:sz w:val="24"/>
          <w:szCs w:val="24"/>
        </w:rPr>
        <w:t xml:space="preserve">the incidence rate was often zero this early on in the pandemic, both for states that had successfully limited community spread at this point and for states who may have had trouble with setting up </w:t>
      </w:r>
      <w:r w:rsidR="009D7EF2">
        <w:rPr>
          <w:rFonts w:ascii="Times New Roman" w:hAnsi="Times New Roman" w:cs="Times New Roman"/>
          <w:noProof/>
          <w:sz w:val="24"/>
          <w:szCs w:val="24"/>
        </w:rPr>
        <w:t xml:space="preserve">daily </w:t>
      </w:r>
      <w:r w:rsidR="00272C58">
        <w:rPr>
          <w:rFonts w:ascii="Times New Roman" w:hAnsi="Times New Roman" w:cs="Times New Roman"/>
          <w:noProof/>
          <w:sz w:val="24"/>
          <w:szCs w:val="24"/>
        </w:rPr>
        <w:t>reporting</w:t>
      </w:r>
      <w:r w:rsidR="009D7EF2">
        <w:rPr>
          <w:rFonts w:ascii="Times New Roman" w:hAnsi="Times New Roman" w:cs="Times New Roman"/>
          <w:noProof/>
          <w:sz w:val="24"/>
          <w:szCs w:val="24"/>
        </w:rPr>
        <w:t xml:space="preserve"> at that time</w:t>
      </w:r>
      <w:r w:rsidR="00272C58">
        <w:rPr>
          <w:rFonts w:ascii="Times New Roman" w:hAnsi="Times New Roman" w:cs="Times New Roman"/>
          <w:noProof/>
          <w:sz w:val="24"/>
          <w:szCs w:val="24"/>
        </w:rPr>
        <w:t xml:space="preserve"> prevalence rate was also modeled.  This was in the hope that the prevalence rate model would differentiate</w:t>
      </w:r>
      <w:r w:rsidR="009D7EF2">
        <w:rPr>
          <w:rFonts w:ascii="Times New Roman" w:hAnsi="Times New Roman" w:cs="Times New Roman"/>
          <w:noProof/>
          <w:sz w:val="24"/>
          <w:szCs w:val="24"/>
        </w:rPr>
        <w:t xml:space="preserve"> </w:t>
      </w:r>
      <w:r w:rsidR="00272C58">
        <w:rPr>
          <w:rFonts w:ascii="Times New Roman" w:hAnsi="Times New Roman" w:cs="Times New Roman"/>
          <w:noProof/>
          <w:sz w:val="24"/>
          <w:szCs w:val="24"/>
        </w:rPr>
        <w:t>between states that had very low incidence and prevalence at 2 weeks and states that just coincidentally</w:t>
      </w:r>
      <w:r w:rsidR="009242F1" w:rsidRPr="009242F1">
        <w:rPr>
          <w:rFonts w:ascii="Times New Roman" w:hAnsi="Times New Roman" w:cs="Times New Roman"/>
          <w:noProof/>
          <w:sz w:val="24"/>
          <w:szCs w:val="24"/>
        </w:rPr>
        <w:t xml:space="preserve"> </w:t>
      </w:r>
      <w:r w:rsidR="009242F1">
        <w:rPr>
          <w:rFonts w:ascii="Times New Roman" w:hAnsi="Times New Roman" w:cs="Times New Roman"/>
          <w:noProof/>
          <w:sz w:val="24"/>
          <w:szCs w:val="24"/>
        </w:rPr>
        <w:t>had artifically low incidence rates at 2 weeks</w:t>
      </w:r>
      <w:r w:rsidR="00272C58">
        <w:rPr>
          <w:rFonts w:ascii="Times New Roman" w:hAnsi="Times New Roman" w:cs="Times New Roman"/>
          <w:noProof/>
          <w:sz w:val="24"/>
          <w:szCs w:val="24"/>
        </w:rPr>
        <w:t>, e.g. the 2 week mark fell on a Saturday in a state that tends to do less testing and reporting on weekends.</w:t>
      </w:r>
      <w:r w:rsidRPr="00863A2F">
        <w:rPr>
          <w:rFonts w:ascii="Times New Roman" w:hAnsi="Times New Roman" w:cs="Times New Roman"/>
          <w:noProof/>
          <w:sz w:val="24"/>
          <w:szCs w:val="24"/>
        </w:rPr>
        <w:t xml:space="preserve"> </w:t>
      </w:r>
      <w:r w:rsidR="009D7EF2">
        <w:rPr>
          <w:rFonts w:ascii="Times New Roman" w:hAnsi="Times New Roman" w:cs="Times New Roman"/>
          <w:noProof/>
          <w:sz w:val="24"/>
          <w:szCs w:val="24"/>
        </w:rPr>
        <w:t xml:space="preserve">There will always be inherent uncertainty when modeling as the event occurs given variability in states’s testing capabilities and reporting systems, but by separately modeling incidence rate and prevalence </w:t>
      </w:r>
      <w:r w:rsidR="009D7EF2">
        <w:rPr>
          <w:rFonts w:ascii="Times New Roman" w:hAnsi="Times New Roman" w:cs="Times New Roman"/>
          <w:noProof/>
          <w:sz w:val="24"/>
          <w:szCs w:val="24"/>
        </w:rPr>
        <w:lastRenderedPageBreak/>
        <w:t xml:space="preserve">rate, this paper hopes to more thoroughly investigate the impact of public transit use on COVID-19 spread. </w:t>
      </w:r>
    </w:p>
    <w:p w14:paraId="1AA3C6F2" w14:textId="77777777" w:rsidR="004044CC" w:rsidRDefault="00DF616D" w:rsidP="004044CC">
      <w:pPr>
        <w:spacing w:line="480" w:lineRule="auto"/>
        <w:ind w:firstLine="720"/>
        <w:rPr>
          <w:rFonts w:ascii="Times New Roman" w:hAnsi="Times New Roman" w:cs="Times New Roman"/>
          <w:noProof/>
          <w:sz w:val="24"/>
          <w:szCs w:val="24"/>
        </w:rPr>
      </w:pPr>
      <w:r w:rsidRPr="00441ABB">
        <w:rPr>
          <w:noProof/>
        </w:rPr>
        <w:drawing>
          <wp:anchor distT="0" distB="0" distL="114300" distR="114300" simplePos="0" relativeHeight="251658240" behindDoc="1" locked="0" layoutInCell="1" allowOverlap="1" wp14:anchorId="3E74C018" wp14:editId="2308F979">
            <wp:simplePos x="0" y="0"/>
            <wp:positionH relativeFrom="margin">
              <wp:align>right</wp:align>
            </wp:positionH>
            <wp:positionV relativeFrom="paragraph">
              <wp:posOffset>3090573</wp:posOffset>
            </wp:positionV>
            <wp:extent cx="3149600" cy="2228850"/>
            <wp:effectExtent l="0" t="0" r="0" b="0"/>
            <wp:wrapTight wrapText="bothSides">
              <wp:wrapPolygon edited="0">
                <wp:start x="0" y="0"/>
                <wp:lineTo x="0" y="21415"/>
                <wp:lineTo x="21426" y="21415"/>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49600" cy="2228850"/>
                    </a:xfrm>
                    <a:prstGeom prst="rect">
                      <a:avLst/>
                    </a:prstGeom>
                  </pic:spPr>
                </pic:pic>
              </a:graphicData>
            </a:graphic>
            <wp14:sizeRelH relativeFrom="page">
              <wp14:pctWidth>0</wp14:pctWidth>
            </wp14:sizeRelH>
            <wp14:sizeRelV relativeFrom="page">
              <wp14:pctHeight>0</wp14:pctHeight>
            </wp14:sizeRelV>
          </wp:anchor>
        </w:drawing>
      </w:r>
      <w:r w:rsidR="001476D5">
        <w:rPr>
          <w:rFonts w:ascii="Times New Roman" w:hAnsi="Times New Roman" w:cs="Times New Roman"/>
          <w:noProof/>
          <w:sz w:val="24"/>
          <w:szCs w:val="24"/>
        </w:rPr>
        <w:t xml:space="preserve">The model included the following covariates: overall population size, population density, </w:t>
      </w:r>
      <w:r w:rsidR="001476D5" w:rsidRPr="00863A2F">
        <w:rPr>
          <w:rFonts w:ascii="Times New Roman" w:hAnsi="Times New Roman" w:cs="Times New Roman"/>
          <w:noProof/>
          <w:sz w:val="24"/>
          <w:szCs w:val="24"/>
        </w:rPr>
        <w:t xml:space="preserve">race, ethnicity, age, </w:t>
      </w:r>
      <w:r w:rsidR="001B0195">
        <w:rPr>
          <w:rFonts w:ascii="Times New Roman" w:hAnsi="Times New Roman" w:cs="Times New Roman"/>
          <w:noProof/>
          <w:sz w:val="24"/>
          <w:szCs w:val="24"/>
        </w:rPr>
        <w:t xml:space="preserve">sex, </w:t>
      </w:r>
      <w:r w:rsidR="001476D5" w:rsidRPr="00863A2F">
        <w:rPr>
          <w:rFonts w:ascii="Times New Roman" w:hAnsi="Times New Roman" w:cs="Times New Roman"/>
          <w:noProof/>
          <w:sz w:val="24"/>
          <w:szCs w:val="24"/>
        </w:rPr>
        <w:t>household income, and political party of the Governor.</w:t>
      </w:r>
      <w:r w:rsidR="001476D5">
        <w:rPr>
          <w:rFonts w:ascii="Times New Roman" w:hAnsi="Times New Roman" w:cs="Times New Roman"/>
          <w:noProof/>
          <w:sz w:val="24"/>
          <w:szCs w:val="24"/>
        </w:rPr>
        <w:t xml:space="preserve"> Data </w:t>
      </w:r>
      <w:r w:rsidR="0086767E">
        <w:rPr>
          <w:rFonts w:ascii="Times New Roman" w:hAnsi="Times New Roman" w:cs="Times New Roman"/>
          <w:noProof/>
          <w:sz w:val="24"/>
          <w:szCs w:val="24"/>
        </w:rPr>
        <w:t xml:space="preserve">for covariates </w:t>
      </w:r>
      <w:r w:rsidR="001476D5">
        <w:rPr>
          <w:rFonts w:ascii="Times New Roman" w:hAnsi="Times New Roman" w:cs="Times New Roman"/>
          <w:noProof/>
          <w:sz w:val="24"/>
          <w:szCs w:val="24"/>
        </w:rPr>
        <w:t>were collected from the 2018 American Community Survey, the 2010 Census, and the Kaiser Family Foundation.</w:t>
      </w:r>
      <w:r w:rsidR="001476D5">
        <w:rPr>
          <w:rFonts w:ascii="Times New Roman" w:hAnsi="Times New Roman" w:cs="Times New Roman"/>
          <w:noProof/>
          <w:sz w:val="24"/>
          <w:szCs w:val="24"/>
        </w:rPr>
        <w:fldChar w:fldCharType="begin" w:fldLock="1"/>
      </w:r>
      <w:r w:rsidR="00E4219D">
        <w:rPr>
          <w:rFonts w:ascii="Times New Roman" w:hAnsi="Times New Roman" w:cs="Times New Roman"/>
          <w:noProof/>
          <w:sz w:val="24"/>
          <w:szCs w:val="24"/>
        </w:rPr>
        <w:instrText>ADDIN CSL_CITATION {"citationItems":[{"id":"ITEM-1","itemData":{"URL":"https://www.kff.org/other/state-indicator/governors/?currentTimeframe=0&amp;sortModel=%7B%22colId%22:%22Location%22,%22sort%22:%22asc%22%7D","accessed":{"date-parts":[["2020","4","28"]]},"author":[{"dropping-particle":"","family":"National Governors Association (NGA)","given":"","non-dropping-particle":"","parse-names":false,"suffix":""}],"container-title":"Kaiser Family Foundation","id":"ITEM-1","issued":{"date-parts":[["2020"]]},"title":"Current Governors 2020","type":"webpage"},"uris":["http://www.mendeley.com/documents/?uuid=125faa11-4a66-3825-91a8-7ead2069b897"]},{"id":"ITEM-2","itemData":{"URL":"https://data.census.gov/cedsci/all?q=median age&amp;hidePreview=false&amp;tid=ACSST1Y2018.S0101&amp;t=Age and Sex","accessed":{"date-parts":[["2020","4","28"]]},"author":[{"dropping-particle":"","family":"United States Census Bureau","given":"","non-dropping-particle":"","parse-names":false,"suffix":""}],"id":"ITEM-2","issued":{"date-parts":[["2018"]]},"title":"American Community Survey","type":"webpage"},"uris":["http://www.mendeley.com/documents/?uuid=281f35fe-a6a2-3cf9-a47b-809920b77918"]},{"id":"ITEM-3","itemData":{"author":[{"dropping-particle":"","family":"United States Census Bureau","given":"","non-dropping-particle":"","parse-names":false,"suffix":""}],"id":"ITEM-3","issued":{"date-parts":[["2010"]]},"title":"2010 Census: Population Density Data","type":"article-journal"},"uris":["http://www.mendeley.com/documents/?uuid=0763b389-bcfc-3693-99aa-e06e0756f970"]}],"mendeley":{"formattedCitation":"&lt;sup&gt;8–10&lt;/sup&gt;","plainTextFormattedCitation":"8–10","previouslyFormattedCitation":"&lt;sup&gt;8–10&lt;/sup&gt;"},"properties":{"noteIndex":0},"schema":"https://github.com/citation-style-language/schema/raw/master/csl-citation.json"}</w:instrText>
      </w:r>
      <w:r w:rsidR="001476D5">
        <w:rPr>
          <w:rFonts w:ascii="Times New Roman" w:hAnsi="Times New Roman" w:cs="Times New Roman"/>
          <w:noProof/>
          <w:sz w:val="24"/>
          <w:szCs w:val="24"/>
        </w:rPr>
        <w:fldChar w:fldCharType="separate"/>
      </w:r>
      <w:r w:rsidR="00E4219D" w:rsidRPr="00E4219D">
        <w:rPr>
          <w:rFonts w:ascii="Times New Roman" w:hAnsi="Times New Roman" w:cs="Times New Roman"/>
          <w:noProof/>
          <w:sz w:val="24"/>
          <w:szCs w:val="24"/>
          <w:vertAlign w:val="superscript"/>
        </w:rPr>
        <w:t>8–10</w:t>
      </w:r>
      <w:r w:rsidR="001476D5">
        <w:rPr>
          <w:rFonts w:ascii="Times New Roman" w:hAnsi="Times New Roman" w:cs="Times New Roman"/>
          <w:noProof/>
          <w:sz w:val="24"/>
          <w:szCs w:val="24"/>
        </w:rPr>
        <w:fldChar w:fldCharType="end"/>
      </w:r>
      <w:r w:rsidR="001476D5">
        <w:rPr>
          <w:rFonts w:ascii="Times New Roman" w:hAnsi="Times New Roman" w:cs="Times New Roman"/>
          <w:noProof/>
          <w:sz w:val="24"/>
          <w:szCs w:val="24"/>
        </w:rPr>
        <w:t xml:space="preserve"> </w:t>
      </w:r>
      <w:r w:rsidR="001B0195">
        <w:rPr>
          <w:rFonts w:ascii="Times New Roman" w:hAnsi="Times New Roman" w:cs="Times New Roman"/>
          <w:noProof/>
          <w:sz w:val="24"/>
          <w:szCs w:val="24"/>
        </w:rPr>
        <w:t xml:space="preserve">Population density was defined as the average population per square mile.  Race was defined as the percentage of the population who identifies as white.  Ethnicity was defined as the percentage of the population that identifies as hispanic. Age was defined as median age. Sex was defined as the percentage of the population that was male. Household income was defined as median household income. Analysis revealed that almost all continuous variables were skewed with the exception of sex, so </w:t>
      </w:r>
      <w:r>
        <w:rPr>
          <w:rFonts w:ascii="Times New Roman" w:hAnsi="Times New Roman" w:cs="Times New Roman"/>
          <w:noProof/>
          <w:sz w:val="24"/>
          <w:szCs w:val="24"/>
        </w:rPr>
        <w:t xml:space="preserve">descriptive statistics were analyzed using median and interquartile range for continuous variables and counts and proportions for categorical variables. </w:t>
      </w:r>
    </w:p>
    <w:p w14:paraId="46BCBD02" w14:textId="0230867B" w:rsidR="00F66CB6" w:rsidRDefault="001B0195" w:rsidP="004044CC">
      <w:pPr>
        <w:spacing w:line="480" w:lineRule="auto"/>
        <w:ind w:firstLine="720"/>
        <w:rPr>
          <w:rFonts w:ascii="Times New Roman" w:hAnsi="Times New Roman" w:cs="Times New Roman"/>
          <w:noProof/>
          <w:sz w:val="24"/>
          <w:szCs w:val="24"/>
        </w:rPr>
      </w:pPr>
      <w:r w:rsidRPr="00DE2124">
        <w:rPr>
          <w:rFonts w:ascii="Times New Roman" w:hAnsi="Times New Roman" w:cs="Times New Roman"/>
          <w:b/>
          <w:bCs/>
          <w:sz w:val="24"/>
          <w:szCs w:val="24"/>
        </w:rPr>
        <w:drawing>
          <wp:anchor distT="0" distB="0" distL="114300" distR="114300" simplePos="0" relativeHeight="251659264" behindDoc="1" locked="0" layoutInCell="1" allowOverlap="1" wp14:anchorId="11E53634" wp14:editId="1DEE176E">
            <wp:simplePos x="0" y="0"/>
            <wp:positionH relativeFrom="margin">
              <wp:align>right</wp:align>
            </wp:positionH>
            <wp:positionV relativeFrom="paragraph">
              <wp:posOffset>995045</wp:posOffset>
            </wp:positionV>
            <wp:extent cx="3038475" cy="2118995"/>
            <wp:effectExtent l="0" t="0" r="9525" b="0"/>
            <wp:wrapTight wrapText="bothSides">
              <wp:wrapPolygon edited="0">
                <wp:start x="0" y="0"/>
                <wp:lineTo x="0" y="21361"/>
                <wp:lineTo x="21532" y="21361"/>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8475" cy="2118995"/>
                    </a:xfrm>
                    <a:prstGeom prst="rect">
                      <a:avLst/>
                    </a:prstGeom>
                  </pic:spPr>
                </pic:pic>
              </a:graphicData>
            </a:graphic>
            <wp14:sizeRelH relativeFrom="page">
              <wp14:pctWidth>0</wp14:pctWidth>
            </wp14:sizeRelH>
            <wp14:sizeRelV relativeFrom="page">
              <wp14:pctHeight>0</wp14:pctHeight>
            </wp14:sizeRelV>
          </wp:anchor>
        </w:drawing>
      </w:r>
      <w:r w:rsidR="0096168B">
        <w:rPr>
          <w:rFonts w:ascii="Times New Roman" w:hAnsi="Times New Roman" w:cs="Times New Roman"/>
          <w:noProof/>
          <w:sz w:val="24"/>
          <w:szCs w:val="24"/>
        </w:rPr>
        <w:t>Both incidence rate (Figure 1) and prevalence rate (Figure 2) were right skewed, so a poisson model was appropriate. However, d</w:t>
      </w:r>
      <w:r w:rsidR="00863A2F" w:rsidRPr="00863A2F">
        <w:rPr>
          <w:rFonts w:ascii="Times New Roman" w:hAnsi="Times New Roman" w:cs="Times New Roman"/>
          <w:noProof/>
          <w:sz w:val="24"/>
          <w:szCs w:val="24"/>
        </w:rPr>
        <w:t>ue to overdispersion, a negative binomial model with robust standard errors was used.</w:t>
      </w:r>
      <w:r w:rsidR="0096168B">
        <w:rPr>
          <w:rFonts w:ascii="Times New Roman" w:hAnsi="Times New Roman" w:cs="Times New Roman"/>
          <w:noProof/>
          <w:sz w:val="24"/>
          <w:szCs w:val="24"/>
        </w:rPr>
        <w:t xml:space="preserve"> A likelihood ratio test confirmed that the negative binomial model was statistically significantly better than the poisson model (p&lt;0.001). </w:t>
      </w:r>
      <w:r w:rsidR="0096168B">
        <w:rPr>
          <w:rFonts w:ascii="Times New Roman" w:hAnsi="Times New Roman" w:cs="Times New Roman"/>
          <w:noProof/>
          <w:sz w:val="24"/>
          <w:szCs w:val="24"/>
        </w:rPr>
        <w:lastRenderedPageBreak/>
        <w:t xml:space="preserve">Likelihood ratio tests also confirmed that models including the covariates were statistically significantly better (p&lt;0.001) than univariate models at predicting rates. </w:t>
      </w:r>
      <w:r>
        <w:rPr>
          <w:rFonts w:ascii="Times New Roman" w:hAnsi="Times New Roman" w:cs="Times New Roman"/>
          <w:noProof/>
          <w:sz w:val="24"/>
          <w:szCs w:val="24"/>
        </w:rPr>
        <w:t xml:space="preserve">Incidence rate ratios and prevalence rate ratios were calculated to help determine whether any results that were statistically signficant were also clinically meaningful. </w:t>
      </w:r>
    </w:p>
    <w:p w14:paraId="17383B65" w14:textId="0CC335B4" w:rsidR="00C86DC4" w:rsidRPr="00F66CB6" w:rsidRDefault="00441ABB" w:rsidP="002A1E47">
      <w:pPr>
        <w:spacing w:line="480" w:lineRule="auto"/>
        <w:rPr>
          <w:rFonts w:ascii="Times New Roman" w:hAnsi="Times New Roman" w:cs="Times New Roman"/>
          <w:noProof/>
          <w:sz w:val="24"/>
          <w:szCs w:val="24"/>
        </w:rPr>
      </w:pPr>
      <w:r>
        <w:rPr>
          <w:rFonts w:ascii="Times New Roman" w:hAnsi="Times New Roman" w:cs="Times New Roman"/>
          <w:b/>
          <w:bCs/>
          <w:sz w:val="24"/>
          <w:szCs w:val="24"/>
        </w:rPr>
        <w:t>RESULTS</w:t>
      </w:r>
    </w:p>
    <w:tbl>
      <w:tblPr>
        <w:tblStyle w:val="TableGrid"/>
        <w:tblpPr w:leftFromText="180" w:rightFromText="180" w:vertAnchor="text" w:horzAnchor="margin" w:tblpXSpec="right" w:tblpY="929"/>
        <w:tblW w:w="0" w:type="auto"/>
        <w:tblLook w:val="04A0" w:firstRow="1" w:lastRow="0" w:firstColumn="1" w:lastColumn="0" w:noHBand="0" w:noVBand="1"/>
      </w:tblPr>
      <w:tblGrid>
        <w:gridCol w:w="3409"/>
        <w:gridCol w:w="2536"/>
      </w:tblGrid>
      <w:tr w:rsidR="004044CC" w:rsidRPr="009E5B0F" w14:paraId="74631C23" w14:textId="77777777" w:rsidTr="004044CC">
        <w:trPr>
          <w:trHeight w:val="286"/>
        </w:trPr>
        <w:tc>
          <w:tcPr>
            <w:tcW w:w="0" w:type="auto"/>
            <w:gridSpan w:val="2"/>
            <w:tcBorders>
              <w:top w:val="nil"/>
              <w:left w:val="nil"/>
              <w:bottom w:val="single" w:sz="4" w:space="0" w:color="auto"/>
              <w:right w:val="nil"/>
            </w:tcBorders>
          </w:tcPr>
          <w:p w14:paraId="37CDFCAC" w14:textId="77777777" w:rsidR="004044CC" w:rsidRPr="009E5B0F" w:rsidRDefault="004044CC" w:rsidP="004044CC">
            <w:pPr>
              <w:rPr>
                <w:rFonts w:cs="Times New Roman"/>
                <w:b/>
                <w:bCs/>
                <w:sz w:val="24"/>
                <w:szCs w:val="24"/>
              </w:rPr>
            </w:pPr>
            <w:r w:rsidRPr="009E5B0F">
              <w:rPr>
                <w:rFonts w:cs="Times New Roman"/>
                <w:b/>
                <w:bCs/>
                <w:sz w:val="24"/>
                <w:szCs w:val="24"/>
              </w:rPr>
              <w:t>Table 1. State Characteristics</w:t>
            </w:r>
            <w:r>
              <w:rPr>
                <w:rFonts w:cs="Times New Roman"/>
                <w:b/>
                <w:bCs/>
                <w:sz w:val="24"/>
                <w:szCs w:val="24"/>
              </w:rPr>
              <w:t xml:space="preserve"> (n=51)</w:t>
            </w:r>
          </w:p>
        </w:tc>
      </w:tr>
      <w:tr w:rsidR="004044CC" w:rsidRPr="009E5B0F" w14:paraId="3AC9052A" w14:textId="77777777" w:rsidTr="004044CC">
        <w:trPr>
          <w:trHeight w:val="286"/>
        </w:trPr>
        <w:tc>
          <w:tcPr>
            <w:tcW w:w="0" w:type="auto"/>
            <w:tcBorders>
              <w:top w:val="single" w:sz="4" w:space="0" w:color="auto"/>
              <w:left w:val="nil"/>
              <w:bottom w:val="single" w:sz="4" w:space="0" w:color="auto"/>
              <w:right w:val="nil"/>
            </w:tcBorders>
          </w:tcPr>
          <w:p w14:paraId="193B59C3" w14:textId="77777777" w:rsidR="004044CC" w:rsidRPr="009E5B0F" w:rsidRDefault="004044CC" w:rsidP="004044CC">
            <w:pPr>
              <w:rPr>
                <w:rFonts w:cs="Times New Roman"/>
                <w:b/>
                <w:bCs/>
                <w:sz w:val="24"/>
                <w:szCs w:val="24"/>
              </w:rPr>
            </w:pPr>
            <w:r w:rsidRPr="009E5B0F">
              <w:rPr>
                <w:rFonts w:cs="Times New Roman"/>
                <w:b/>
                <w:bCs/>
                <w:sz w:val="24"/>
                <w:szCs w:val="24"/>
              </w:rPr>
              <w:t>Characteristic</w:t>
            </w:r>
          </w:p>
        </w:tc>
        <w:tc>
          <w:tcPr>
            <w:tcW w:w="0" w:type="auto"/>
            <w:tcBorders>
              <w:top w:val="single" w:sz="4" w:space="0" w:color="auto"/>
              <w:left w:val="nil"/>
              <w:bottom w:val="single" w:sz="4" w:space="0" w:color="auto"/>
              <w:right w:val="nil"/>
            </w:tcBorders>
          </w:tcPr>
          <w:p w14:paraId="14EF48D0" w14:textId="77777777" w:rsidR="004044CC" w:rsidRPr="009E5B0F" w:rsidRDefault="004044CC" w:rsidP="004044CC">
            <w:pPr>
              <w:jc w:val="right"/>
              <w:rPr>
                <w:rFonts w:cs="Times New Roman"/>
                <w:b/>
                <w:bCs/>
                <w:sz w:val="24"/>
                <w:szCs w:val="24"/>
              </w:rPr>
            </w:pPr>
            <w:r w:rsidRPr="009E5B0F">
              <w:rPr>
                <w:rFonts w:cs="Times New Roman"/>
                <w:b/>
                <w:bCs/>
                <w:sz w:val="24"/>
                <w:szCs w:val="24"/>
              </w:rPr>
              <w:t>Median (IQR)</w:t>
            </w:r>
          </w:p>
        </w:tc>
      </w:tr>
      <w:tr w:rsidR="004044CC" w:rsidRPr="009E5B0F" w14:paraId="7C6459B9" w14:textId="77777777" w:rsidTr="004044CC">
        <w:trPr>
          <w:trHeight w:val="286"/>
        </w:trPr>
        <w:tc>
          <w:tcPr>
            <w:tcW w:w="0" w:type="auto"/>
            <w:tcBorders>
              <w:top w:val="nil"/>
              <w:left w:val="nil"/>
              <w:bottom w:val="nil"/>
              <w:right w:val="nil"/>
            </w:tcBorders>
          </w:tcPr>
          <w:p w14:paraId="4CD7FF8A" w14:textId="77777777" w:rsidR="004044CC" w:rsidRPr="009E5B0F" w:rsidRDefault="004044CC" w:rsidP="004044CC">
            <w:pPr>
              <w:rPr>
                <w:rFonts w:cs="Times New Roman"/>
                <w:sz w:val="24"/>
                <w:szCs w:val="24"/>
              </w:rPr>
            </w:pPr>
            <w:r>
              <w:rPr>
                <w:rFonts w:cs="Times New Roman"/>
                <w:sz w:val="24"/>
                <w:szCs w:val="24"/>
              </w:rPr>
              <w:t>Incidence Rate (per 100,000)</w:t>
            </w:r>
          </w:p>
        </w:tc>
        <w:tc>
          <w:tcPr>
            <w:tcW w:w="0" w:type="auto"/>
            <w:tcBorders>
              <w:top w:val="nil"/>
              <w:left w:val="nil"/>
              <w:bottom w:val="nil"/>
              <w:right w:val="nil"/>
            </w:tcBorders>
            <w:vAlign w:val="center"/>
          </w:tcPr>
          <w:p w14:paraId="15731E76" w14:textId="77777777" w:rsidR="004044CC" w:rsidRPr="009E5B0F" w:rsidRDefault="004044CC" w:rsidP="004044CC">
            <w:pPr>
              <w:jc w:val="right"/>
              <w:rPr>
                <w:rFonts w:cs="Times New Roman"/>
                <w:sz w:val="24"/>
                <w:szCs w:val="24"/>
              </w:rPr>
            </w:pPr>
            <w:r>
              <w:rPr>
                <w:rFonts w:cs="Times New Roman"/>
                <w:sz w:val="24"/>
                <w:szCs w:val="24"/>
              </w:rPr>
              <w:t>0.57</w:t>
            </w:r>
            <w:r w:rsidRPr="009E5B0F">
              <w:rPr>
                <w:rFonts w:cs="Times New Roman"/>
                <w:sz w:val="24"/>
                <w:szCs w:val="24"/>
              </w:rPr>
              <w:t xml:space="preserve"> (</w:t>
            </w:r>
            <w:r>
              <w:rPr>
                <w:rFonts w:cs="Times New Roman"/>
                <w:sz w:val="24"/>
                <w:szCs w:val="24"/>
              </w:rPr>
              <w:t>0.15,1.46</w:t>
            </w:r>
            <w:r w:rsidRPr="009E5B0F">
              <w:rPr>
                <w:rFonts w:cs="Times New Roman"/>
                <w:sz w:val="24"/>
                <w:szCs w:val="24"/>
              </w:rPr>
              <w:t>)</w:t>
            </w:r>
          </w:p>
        </w:tc>
      </w:tr>
      <w:tr w:rsidR="004044CC" w:rsidRPr="009E5B0F" w14:paraId="5A5DD41A" w14:textId="77777777" w:rsidTr="004044CC">
        <w:trPr>
          <w:trHeight w:val="287"/>
        </w:trPr>
        <w:tc>
          <w:tcPr>
            <w:tcW w:w="0" w:type="auto"/>
            <w:tcBorders>
              <w:top w:val="nil"/>
              <w:left w:val="nil"/>
              <w:bottom w:val="nil"/>
              <w:right w:val="nil"/>
            </w:tcBorders>
          </w:tcPr>
          <w:p w14:paraId="30D30BA3" w14:textId="77777777" w:rsidR="004044CC" w:rsidRPr="009E5B0F" w:rsidRDefault="004044CC" w:rsidP="004044CC">
            <w:pPr>
              <w:rPr>
                <w:rFonts w:cs="Times New Roman"/>
                <w:sz w:val="24"/>
                <w:szCs w:val="24"/>
              </w:rPr>
            </w:pPr>
            <w:r>
              <w:rPr>
                <w:rFonts w:cs="Times New Roman"/>
                <w:sz w:val="24"/>
                <w:szCs w:val="24"/>
              </w:rPr>
              <w:t>Prevalence Rate (per 100,00)</w:t>
            </w:r>
          </w:p>
        </w:tc>
        <w:tc>
          <w:tcPr>
            <w:tcW w:w="0" w:type="auto"/>
            <w:tcBorders>
              <w:top w:val="nil"/>
              <w:left w:val="nil"/>
              <w:bottom w:val="nil"/>
              <w:right w:val="nil"/>
            </w:tcBorders>
          </w:tcPr>
          <w:p w14:paraId="2B7248C1" w14:textId="77777777" w:rsidR="004044CC" w:rsidRPr="009E5B0F" w:rsidRDefault="004044CC" w:rsidP="004044CC">
            <w:pPr>
              <w:jc w:val="right"/>
              <w:rPr>
                <w:rFonts w:cs="Times New Roman"/>
                <w:sz w:val="24"/>
                <w:szCs w:val="24"/>
              </w:rPr>
            </w:pPr>
            <w:r w:rsidRPr="009E5B0F">
              <w:rPr>
                <w:rFonts w:cs="Times New Roman"/>
                <w:sz w:val="24"/>
                <w:szCs w:val="24"/>
              </w:rPr>
              <w:t>2</w:t>
            </w:r>
            <w:r>
              <w:rPr>
                <w:rFonts w:cs="Times New Roman"/>
                <w:sz w:val="24"/>
                <w:szCs w:val="24"/>
              </w:rPr>
              <w:t xml:space="preserve">.45 </w:t>
            </w:r>
            <w:r w:rsidRPr="009E5B0F">
              <w:rPr>
                <w:rFonts w:cs="Times New Roman"/>
                <w:sz w:val="24"/>
                <w:szCs w:val="24"/>
              </w:rPr>
              <w:t>(</w:t>
            </w:r>
            <w:r>
              <w:rPr>
                <w:rFonts w:cs="Times New Roman"/>
                <w:sz w:val="24"/>
                <w:szCs w:val="24"/>
              </w:rPr>
              <w:t>1.14</w:t>
            </w:r>
            <w:r w:rsidRPr="009E5B0F">
              <w:rPr>
                <w:rFonts w:cs="Times New Roman"/>
                <w:sz w:val="24"/>
                <w:szCs w:val="24"/>
              </w:rPr>
              <w:t>, 8</w:t>
            </w:r>
            <w:r>
              <w:rPr>
                <w:rFonts w:cs="Times New Roman"/>
                <w:sz w:val="24"/>
                <w:szCs w:val="24"/>
              </w:rPr>
              <w:t>.75</w:t>
            </w:r>
            <w:r w:rsidRPr="009E5B0F">
              <w:rPr>
                <w:rFonts w:cs="Times New Roman"/>
                <w:sz w:val="24"/>
                <w:szCs w:val="24"/>
              </w:rPr>
              <w:t>)</w:t>
            </w:r>
          </w:p>
        </w:tc>
      </w:tr>
      <w:tr w:rsidR="004044CC" w:rsidRPr="009E5B0F" w14:paraId="1A2D6B6A" w14:textId="77777777" w:rsidTr="004044CC">
        <w:trPr>
          <w:trHeight w:val="287"/>
        </w:trPr>
        <w:tc>
          <w:tcPr>
            <w:tcW w:w="0" w:type="auto"/>
            <w:tcBorders>
              <w:top w:val="nil"/>
              <w:left w:val="nil"/>
              <w:bottom w:val="nil"/>
              <w:right w:val="nil"/>
            </w:tcBorders>
          </w:tcPr>
          <w:p w14:paraId="5C9EC7EE" w14:textId="77777777" w:rsidR="004044CC" w:rsidRDefault="004044CC" w:rsidP="004044CC">
            <w:pPr>
              <w:rPr>
                <w:rFonts w:cs="Times New Roman"/>
                <w:sz w:val="24"/>
                <w:szCs w:val="24"/>
              </w:rPr>
            </w:pPr>
          </w:p>
        </w:tc>
        <w:tc>
          <w:tcPr>
            <w:tcW w:w="0" w:type="auto"/>
            <w:tcBorders>
              <w:top w:val="nil"/>
              <w:left w:val="nil"/>
              <w:bottom w:val="nil"/>
              <w:right w:val="nil"/>
            </w:tcBorders>
          </w:tcPr>
          <w:p w14:paraId="5268D12C" w14:textId="77777777" w:rsidR="004044CC" w:rsidRPr="009E5B0F" w:rsidRDefault="004044CC" w:rsidP="004044CC">
            <w:pPr>
              <w:jc w:val="right"/>
              <w:rPr>
                <w:rFonts w:cs="Times New Roman"/>
                <w:sz w:val="24"/>
                <w:szCs w:val="24"/>
              </w:rPr>
            </w:pPr>
          </w:p>
        </w:tc>
      </w:tr>
      <w:tr w:rsidR="004044CC" w:rsidRPr="009E5B0F" w14:paraId="01228FCA" w14:textId="77777777" w:rsidTr="004044CC">
        <w:trPr>
          <w:trHeight w:val="92"/>
        </w:trPr>
        <w:tc>
          <w:tcPr>
            <w:tcW w:w="0" w:type="auto"/>
            <w:tcBorders>
              <w:top w:val="nil"/>
              <w:left w:val="nil"/>
              <w:bottom w:val="nil"/>
              <w:right w:val="nil"/>
            </w:tcBorders>
          </w:tcPr>
          <w:p w14:paraId="5B7E8099" w14:textId="77777777" w:rsidR="004044CC" w:rsidRPr="009E5B0F" w:rsidRDefault="004044CC" w:rsidP="004044CC">
            <w:pPr>
              <w:rPr>
                <w:rFonts w:cs="Times New Roman"/>
                <w:sz w:val="24"/>
                <w:szCs w:val="24"/>
              </w:rPr>
            </w:pPr>
            <w:r>
              <w:rPr>
                <w:rFonts w:cs="Times New Roman"/>
                <w:sz w:val="24"/>
                <w:szCs w:val="24"/>
              </w:rPr>
              <w:t>Population (in thousands)</w:t>
            </w:r>
          </w:p>
        </w:tc>
        <w:tc>
          <w:tcPr>
            <w:tcW w:w="0" w:type="auto"/>
            <w:tcBorders>
              <w:top w:val="nil"/>
              <w:left w:val="nil"/>
              <w:bottom w:val="nil"/>
              <w:right w:val="nil"/>
            </w:tcBorders>
            <w:vAlign w:val="center"/>
          </w:tcPr>
          <w:p w14:paraId="1F18452D" w14:textId="77777777" w:rsidR="004044CC" w:rsidRPr="009E5B0F" w:rsidRDefault="004044CC" w:rsidP="004044CC">
            <w:pPr>
              <w:jc w:val="right"/>
              <w:rPr>
                <w:rFonts w:cs="Times New Roman"/>
                <w:sz w:val="24"/>
                <w:szCs w:val="24"/>
              </w:rPr>
            </w:pPr>
            <w:r>
              <w:rPr>
                <w:rFonts w:cs="Times New Roman"/>
                <w:sz w:val="24"/>
                <w:szCs w:val="24"/>
              </w:rPr>
              <w:t>4,467(</w:t>
            </w:r>
            <w:r w:rsidRPr="009E5B0F">
              <w:rPr>
                <w:rFonts w:cs="Times New Roman"/>
                <w:sz w:val="24"/>
                <w:szCs w:val="24"/>
              </w:rPr>
              <w:t>1</w:t>
            </w:r>
            <w:r>
              <w:rPr>
                <w:rFonts w:cs="Times New Roman"/>
                <w:sz w:val="24"/>
                <w:szCs w:val="24"/>
              </w:rPr>
              <w:t>,</w:t>
            </w:r>
            <w:r w:rsidRPr="009E5B0F">
              <w:rPr>
                <w:rFonts w:cs="Times New Roman"/>
                <w:sz w:val="24"/>
                <w:szCs w:val="24"/>
              </w:rPr>
              <w:t>789, 7</w:t>
            </w:r>
            <w:r>
              <w:rPr>
                <w:rFonts w:cs="Times New Roman"/>
                <w:sz w:val="24"/>
                <w:szCs w:val="24"/>
              </w:rPr>
              <w:t>,</w:t>
            </w:r>
            <w:r w:rsidRPr="009E5B0F">
              <w:rPr>
                <w:rFonts w:cs="Times New Roman"/>
                <w:sz w:val="24"/>
                <w:szCs w:val="24"/>
              </w:rPr>
              <w:t>446</w:t>
            </w:r>
            <w:r>
              <w:rPr>
                <w:rFonts w:cs="Times New Roman"/>
                <w:sz w:val="24"/>
                <w:szCs w:val="24"/>
              </w:rPr>
              <w:t>)</w:t>
            </w:r>
          </w:p>
        </w:tc>
      </w:tr>
      <w:tr w:rsidR="004044CC" w:rsidRPr="009E5B0F" w14:paraId="4489E04D" w14:textId="77777777" w:rsidTr="004044CC">
        <w:trPr>
          <w:trHeight w:val="92"/>
        </w:trPr>
        <w:tc>
          <w:tcPr>
            <w:tcW w:w="0" w:type="auto"/>
            <w:tcBorders>
              <w:top w:val="nil"/>
              <w:left w:val="nil"/>
              <w:bottom w:val="nil"/>
              <w:right w:val="nil"/>
            </w:tcBorders>
          </w:tcPr>
          <w:p w14:paraId="25F2F3F4" w14:textId="77777777" w:rsidR="004044CC" w:rsidRDefault="004044CC" w:rsidP="004044CC">
            <w:pPr>
              <w:rPr>
                <w:rFonts w:cs="Times New Roman"/>
                <w:sz w:val="24"/>
                <w:szCs w:val="24"/>
              </w:rPr>
            </w:pPr>
            <w:r>
              <w:rPr>
                <w:rFonts w:cs="Times New Roman"/>
                <w:sz w:val="24"/>
                <w:szCs w:val="24"/>
              </w:rPr>
              <w:t>Population Density (per sq. mile)</w:t>
            </w:r>
          </w:p>
        </w:tc>
        <w:tc>
          <w:tcPr>
            <w:tcW w:w="0" w:type="auto"/>
            <w:tcBorders>
              <w:top w:val="nil"/>
              <w:left w:val="nil"/>
              <w:bottom w:val="nil"/>
              <w:right w:val="nil"/>
            </w:tcBorders>
            <w:vAlign w:val="center"/>
          </w:tcPr>
          <w:p w14:paraId="74859AA0" w14:textId="77777777" w:rsidR="004044CC" w:rsidRDefault="004044CC" w:rsidP="004044CC">
            <w:pPr>
              <w:jc w:val="right"/>
              <w:rPr>
                <w:rFonts w:cs="Times New Roman"/>
                <w:sz w:val="24"/>
                <w:szCs w:val="24"/>
              </w:rPr>
            </w:pPr>
            <w:r>
              <w:rPr>
                <w:rFonts w:cs="Times New Roman"/>
                <w:sz w:val="24"/>
                <w:szCs w:val="24"/>
              </w:rPr>
              <w:t>101.20 (45.80, 221.45)</w:t>
            </w:r>
          </w:p>
        </w:tc>
      </w:tr>
      <w:tr w:rsidR="004044CC" w:rsidRPr="009E5B0F" w14:paraId="7ACDCF88" w14:textId="77777777" w:rsidTr="004044CC">
        <w:trPr>
          <w:trHeight w:val="92"/>
        </w:trPr>
        <w:tc>
          <w:tcPr>
            <w:tcW w:w="0" w:type="auto"/>
            <w:tcBorders>
              <w:top w:val="nil"/>
              <w:left w:val="nil"/>
              <w:bottom w:val="nil"/>
              <w:right w:val="nil"/>
            </w:tcBorders>
          </w:tcPr>
          <w:p w14:paraId="786EC90E" w14:textId="77777777" w:rsidR="004044CC" w:rsidRDefault="004044CC" w:rsidP="004044CC">
            <w:pPr>
              <w:rPr>
                <w:rFonts w:cs="Times New Roman"/>
                <w:sz w:val="24"/>
                <w:szCs w:val="24"/>
              </w:rPr>
            </w:pPr>
            <w:r>
              <w:rPr>
                <w:rFonts w:cs="Times New Roman"/>
                <w:sz w:val="24"/>
                <w:szCs w:val="24"/>
              </w:rPr>
              <w:t>Commute via Public Transit (%)</w:t>
            </w:r>
          </w:p>
        </w:tc>
        <w:tc>
          <w:tcPr>
            <w:tcW w:w="0" w:type="auto"/>
            <w:tcBorders>
              <w:top w:val="nil"/>
              <w:left w:val="nil"/>
              <w:bottom w:val="nil"/>
              <w:right w:val="nil"/>
            </w:tcBorders>
            <w:vAlign w:val="center"/>
          </w:tcPr>
          <w:p w14:paraId="4D240B2E" w14:textId="77777777" w:rsidR="004044CC" w:rsidRDefault="004044CC" w:rsidP="004044CC">
            <w:pPr>
              <w:jc w:val="right"/>
              <w:rPr>
                <w:rFonts w:cs="Times New Roman"/>
                <w:sz w:val="24"/>
                <w:szCs w:val="24"/>
              </w:rPr>
            </w:pPr>
            <w:r>
              <w:rPr>
                <w:rFonts w:cs="Times New Roman"/>
                <w:sz w:val="24"/>
                <w:szCs w:val="24"/>
              </w:rPr>
              <w:t>1.60 (0.75,3.95)</w:t>
            </w:r>
          </w:p>
        </w:tc>
      </w:tr>
      <w:tr w:rsidR="004044CC" w:rsidRPr="009E5B0F" w14:paraId="671007C2" w14:textId="77777777" w:rsidTr="004044CC">
        <w:trPr>
          <w:trHeight w:val="92"/>
        </w:trPr>
        <w:tc>
          <w:tcPr>
            <w:tcW w:w="0" w:type="auto"/>
            <w:tcBorders>
              <w:top w:val="nil"/>
              <w:left w:val="nil"/>
              <w:bottom w:val="nil"/>
              <w:right w:val="nil"/>
            </w:tcBorders>
          </w:tcPr>
          <w:p w14:paraId="449F7CDB" w14:textId="77777777" w:rsidR="004044CC" w:rsidRDefault="004044CC" w:rsidP="004044CC">
            <w:pPr>
              <w:rPr>
                <w:rFonts w:cs="Times New Roman"/>
                <w:sz w:val="24"/>
                <w:szCs w:val="24"/>
              </w:rPr>
            </w:pPr>
          </w:p>
        </w:tc>
        <w:tc>
          <w:tcPr>
            <w:tcW w:w="0" w:type="auto"/>
            <w:tcBorders>
              <w:top w:val="nil"/>
              <w:left w:val="nil"/>
              <w:bottom w:val="nil"/>
              <w:right w:val="nil"/>
            </w:tcBorders>
            <w:vAlign w:val="center"/>
          </w:tcPr>
          <w:p w14:paraId="3585BF7E" w14:textId="77777777" w:rsidR="004044CC" w:rsidRDefault="004044CC" w:rsidP="004044CC">
            <w:pPr>
              <w:jc w:val="right"/>
              <w:rPr>
                <w:rFonts w:cs="Times New Roman"/>
                <w:sz w:val="24"/>
                <w:szCs w:val="24"/>
              </w:rPr>
            </w:pPr>
          </w:p>
        </w:tc>
      </w:tr>
      <w:tr w:rsidR="004044CC" w:rsidRPr="009E5B0F" w14:paraId="1AE3EED3" w14:textId="77777777" w:rsidTr="004044CC">
        <w:trPr>
          <w:trHeight w:val="152"/>
        </w:trPr>
        <w:tc>
          <w:tcPr>
            <w:tcW w:w="0" w:type="auto"/>
            <w:tcBorders>
              <w:top w:val="nil"/>
              <w:left w:val="nil"/>
              <w:bottom w:val="nil"/>
              <w:right w:val="nil"/>
            </w:tcBorders>
          </w:tcPr>
          <w:p w14:paraId="6D068626" w14:textId="77777777" w:rsidR="004044CC" w:rsidRDefault="004044CC" w:rsidP="004044CC">
            <w:pPr>
              <w:rPr>
                <w:rFonts w:cs="Times New Roman"/>
                <w:sz w:val="24"/>
                <w:szCs w:val="24"/>
              </w:rPr>
            </w:pPr>
            <w:r>
              <w:rPr>
                <w:rFonts w:cs="Times New Roman"/>
                <w:sz w:val="24"/>
                <w:szCs w:val="24"/>
              </w:rPr>
              <w:t>Age</w:t>
            </w:r>
          </w:p>
        </w:tc>
        <w:tc>
          <w:tcPr>
            <w:tcW w:w="0" w:type="auto"/>
            <w:tcBorders>
              <w:top w:val="nil"/>
              <w:left w:val="nil"/>
              <w:bottom w:val="nil"/>
              <w:right w:val="nil"/>
            </w:tcBorders>
            <w:vAlign w:val="center"/>
          </w:tcPr>
          <w:p w14:paraId="2E55567E" w14:textId="77777777" w:rsidR="004044CC" w:rsidRDefault="004044CC" w:rsidP="004044CC">
            <w:pPr>
              <w:jc w:val="right"/>
              <w:rPr>
                <w:rFonts w:cs="Times New Roman"/>
                <w:sz w:val="24"/>
                <w:szCs w:val="24"/>
              </w:rPr>
            </w:pPr>
            <w:r>
              <w:rPr>
                <w:rFonts w:cs="Times New Roman"/>
                <w:sz w:val="24"/>
                <w:szCs w:val="24"/>
              </w:rPr>
              <w:t>38.65 (37.27, 39.73)</w:t>
            </w:r>
          </w:p>
        </w:tc>
      </w:tr>
      <w:tr w:rsidR="004044CC" w:rsidRPr="009E5B0F" w14:paraId="351DA678" w14:textId="77777777" w:rsidTr="004044CC">
        <w:trPr>
          <w:trHeight w:val="92"/>
        </w:trPr>
        <w:tc>
          <w:tcPr>
            <w:tcW w:w="0" w:type="auto"/>
            <w:tcBorders>
              <w:top w:val="nil"/>
              <w:left w:val="nil"/>
              <w:bottom w:val="nil"/>
              <w:right w:val="nil"/>
            </w:tcBorders>
          </w:tcPr>
          <w:p w14:paraId="354DE055" w14:textId="77777777" w:rsidR="004044CC" w:rsidRDefault="004044CC" w:rsidP="004044CC">
            <w:pPr>
              <w:rPr>
                <w:rFonts w:cs="Times New Roman"/>
                <w:sz w:val="24"/>
                <w:szCs w:val="24"/>
              </w:rPr>
            </w:pPr>
            <w:r>
              <w:rPr>
                <w:rFonts w:cs="Times New Roman"/>
                <w:sz w:val="24"/>
                <w:szCs w:val="24"/>
              </w:rPr>
              <w:t>Male (%)</w:t>
            </w:r>
          </w:p>
        </w:tc>
        <w:tc>
          <w:tcPr>
            <w:tcW w:w="0" w:type="auto"/>
            <w:tcBorders>
              <w:top w:val="nil"/>
              <w:left w:val="nil"/>
              <w:bottom w:val="nil"/>
              <w:right w:val="nil"/>
            </w:tcBorders>
            <w:vAlign w:val="center"/>
          </w:tcPr>
          <w:p w14:paraId="07A3E1E4" w14:textId="77777777" w:rsidR="004044CC" w:rsidRDefault="004044CC" w:rsidP="004044CC">
            <w:pPr>
              <w:jc w:val="right"/>
              <w:rPr>
                <w:rFonts w:cs="Times New Roman"/>
                <w:sz w:val="24"/>
                <w:szCs w:val="24"/>
              </w:rPr>
            </w:pPr>
            <w:r>
              <w:rPr>
                <w:rFonts w:cs="Times New Roman"/>
                <w:sz w:val="24"/>
                <w:szCs w:val="24"/>
              </w:rPr>
              <w:t>49.00 (49.00, 50.00)</w:t>
            </w:r>
          </w:p>
        </w:tc>
      </w:tr>
      <w:tr w:rsidR="004044CC" w:rsidRPr="009E5B0F" w14:paraId="15CAE257" w14:textId="77777777" w:rsidTr="004044CC">
        <w:trPr>
          <w:trHeight w:val="92"/>
        </w:trPr>
        <w:tc>
          <w:tcPr>
            <w:tcW w:w="0" w:type="auto"/>
            <w:tcBorders>
              <w:top w:val="nil"/>
              <w:left w:val="nil"/>
              <w:bottom w:val="nil"/>
              <w:right w:val="nil"/>
            </w:tcBorders>
          </w:tcPr>
          <w:p w14:paraId="4D881DBD" w14:textId="77777777" w:rsidR="004044CC" w:rsidRDefault="004044CC" w:rsidP="004044CC">
            <w:pPr>
              <w:rPr>
                <w:rFonts w:cs="Times New Roman"/>
                <w:sz w:val="24"/>
                <w:szCs w:val="24"/>
              </w:rPr>
            </w:pPr>
            <w:r>
              <w:rPr>
                <w:rFonts w:cs="Times New Roman"/>
                <w:sz w:val="24"/>
                <w:szCs w:val="24"/>
              </w:rPr>
              <w:t>White (%)</w:t>
            </w:r>
          </w:p>
        </w:tc>
        <w:tc>
          <w:tcPr>
            <w:tcW w:w="0" w:type="auto"/>
            <w:tcBorders>
              <w:top w:val="nil"/>
              <w:left w:val="nil"/>
              <w:bottom w:val="nil"/>
              <w:right w:val="nil"/>
            </w:tcBorders>
            <w:vAlign w:val="center"/>
          </w:tcPr>
          <w:p w14:paraId="79E9B4D2" w14:textId="77777777" w:rsidR="004044CC" w:rsidRDefault="004044CC" w:rsidP="004044CC">
            <w:pPr>
              <w:jc w:val="right"/>
              <w:rPr>
                <w:rFonts w:cs="Times New Roman"/>
                <w:sz w:val="24"/>
                <w:szCs w:val="24"/>
              </w:rPr>
            </w:pPr>
            <w:r>
              <w:rPr>
                <w:rFonts w:cs="Times New Roman"/>
                <w:sz w:val="24"/>
                <w:szCs w:val="24"/>
              </w:rPr>
              <w:t>71.00 (58.00, 80.00)</w:t>
            </w:r>
          </w:p>
        </w:tc>
      </w:tr>
      <w:tr w:rsidR="004044CC" w:rsidRPr="009E5B0F" w14:paraId="52C6D3C4" w14:textId="77777777" w:rsidTr="004044CC">
        <w:trPr>
          <w:trHeight w:val="92"/>
        </w:trPr>
        <w:tc>
          <w:tcPr>
            <w:tcW w:w="0" w:type="auto"/>
            <w:tcBorders>
              <w:top w:val="nil"/>
              <w:left w:val="nil"/>
              <w:bottom w:val="nil"/>
              <w:right w:val="nil"/>
            </w:tcBorders>
          </w:tcPr>
          <w:p w14:paraId="2359D56F" w14:textId="77777777" w:rsidR="004044CC" w:rsidRDefault="004044CC" w:rsidP="004044CC">
            <w:pPr>
              <w:rPr>
                <w:rFonts w:cs="Times New Roman"/>
                <w:sz w:val="24"/>
                <w:szCs w:val="24"/>
              </w:rPr>
            </w:pPr>
            <w:r>
              <w:rPr>
                <w:rFonts w:cs="Times New Roman"/>
                <w:sz w:val="24"/>
                <w:szCs w:val="24"/>
              </w:rPr>
              <w:t>Hispanic (%)</w:t>
            </w:r>
          </w:p>
        </w:tc>
        <w:tc>
          <w:tcPr>
            <w:tcW w:w="0" w:type="auto"/>
            <w:tcBorders>
              <w:top w:val="nil"/>
              <w:left w:val="nil"/>
              <w:bottom w:val="nil"/>
              <w:right w:val="nil"/>
            </w:tcBorders>
            <w:vAlign w:val="center"/>
          </w:tcPr>
          <w:p w14:paraId="485DD525" w14:textId="77777777" w:rsidR="004044CC" w:rsidRDefault="004044CC" w:rsidP="004044CC">
            <w:pPr>
              <w:jc w:val="right"/>
              <w:rPr>
                <w:rFonts w:cs="Times New Roman"/>
                <w:sz w:val="24"/>
                <w:szCs w:val="24"/>
              </w:rPr>
            </w:pPr>
            <w:r>
              <w:rPr>
                <w:rFonts w:cs="Times New Roman"/>
                <w:sz w:val="24"/>
                <w:szCs w:val="24"/>
              </w:rPr>
              <w:t>10.00 (5.00, 13.50)</w:t>
            </w:r>
          </w:p>
        </w:tc>
      </w:tr>
      <w:tr w:rsidR="004044CC" w:rsidRPr="009E5B0F" w14:paraId="5DF7BF81" w14:textId="77777777" w:rsidTr="004044CC">
        <w:trPr>
          <w:trHeight w:val="92"/>
        </w:trPr>
        <w:tc>
          <w:tcPr>
            <w:tcW w:w="0" w:type="auto"/>
            <w:tcBorders>
              <w:top w:val="nil"/>
              <w:left w:val="nil"/>
              <w:bottom w:val="nil"/>
              <w:right w:val="nil"/>
            </w:tcBorders>
          </w:tcPr>
          <w:p w14:paraId="30B6F28D" w14:textId="77777777" w:rsidR="004044CC" w:rsidRDefault="004044CC" w:rsidP="004044CC">
            <w:pPr>
              <w:rPr>
                <w:rFonts w:cs="Times New Roman"/>
                <w:sz w:val="24"/>
                <w:szCs w:val="24"/>
              </w:rPr>
            </w:pPr>
            <w:r>
              <w:rPr>
                <w:rFonts w:cs="Times New Roman"/>
                <w:sz w:val="24"/>
                <w:szCs w:val="24"/>
              </w:rPr>
              <w:t>Household Income ($)</w:t>
            </w:r>
          </w:p>
        </w:tc>
        <w:tc>
          <w:tcPr>
            <w:tcW w:w="0" w:type="auto"/>
            <w:tcBorders>
              <w:top w:val="nil"/>
              <w:left w:val="nil"/>
              <w:bottom w:val="nil"/>
              <w:right w:val="nil"/>
            </w:tcBorders>
            <w:vAlign w:val="center"/>
          </w:tcPr>
          <w:p w14:paraId="7583D7B9" w14:textId="77777777" w:rsidR="004044CC" w:rsidRDefault="004044CC" w:rsidP="004044CC">
            <w:pPr>
              <w:jc w:val="right"/>
              <w:rPr>
                <w:rFonts w:cs="Times New Roman"/>
                <w:sz w:val="24"/>
                <w:szCs w:val="24"/>
              </w:rPr>
            </w:pPr>
            <w:r>
              <w:rPr>
                <w:rFonts w:cs="Times New Roman"/>
                <w:sz w:val="24"/>
                <w:szCs w:val="24"/>
              </w:rPr>
              <w:t>58,570 (53,069, 68,373)</w:t>
            </w:r>
          </w:p>
        </w:tc>
      </w:tr>
      <w:tr w:rsidR="004044CC" w:rsidRPr="009E5B0F" w14:paraId="30560115" w14:textId="77777777" w:rsidTr="004044CC">
        <w:trPr>
          <w:trHeight w:val="20"/>
        </w:trPr>
        <w:tc>
          <w:tcPr>
            <w:tcW w:w="0" w:type="auto"/>
            <w:tcBorders>
              <w:top w:val="nil"/>
              <w:left w:val="nil"/>
              <w:bottom w:val="nil"/>
              <w:right w:val="nil"/>
            </w:tcBorders>
          </w:tcPr>
          <w:p w14:paraId="047A95E7" w14:textId="77777777" w:rsidR="004044CC" w:rsidRDefault="004044CC" w:rsidP="004044CC">
            <w:pPr>
              <w:rPr>
                <w:rFonts w:cs="Times New Roman"/>
                <w:sz w:val="24"/>
                <w:szCs w:val="24"/>
              </w:rPr>
            </w:pPr>
          </w:p>
        </w:tc>
        <w:tc>
          <w:tcPr>
            <w:tcW w:w="0" w:type="auto"/>
            <w:tcBorders>
              <w:top w:val="nil"/>
              <w:left w:val="nil"/>
              <w:bottom w:val="nil"/>
              <w:right w:val="nil"/>
            </w:tcBorders>
            <w:vAlign w:val="center"/>
          </w:tcPr>
          <w:p w14:paraId="6DD570D1" w14:textId="77777777" w:rsidR="004044CC" w:rsidRDefault="004044CC" w:rsidP="004044CC">
            <w:pPr>
              <w:jc w:val="right"/>
              <w:rPr>
                <w:rFonts w:cs="Times New Roman"/>
                <w:sz w:val="24"/>
                <w:szCs w:val="24"/>
              </w:rPr>
            </w:pPr>
          </w:p>
        </w:tc>
      </w:tr>
      <w:tr w:rsidR="004044CC" w:rsidRPr="009E5B0F" w14:paraId="06D2154D" w14:textId="77777777" w:rsidTr="004044CC">
        <w:trPr>
          <w:trHeight w:val="92"/>
        </w:trPr>
        <w:tc>
          <w:tcPr>
            <w:tcW w:w="0" w:type="auto"/>
            <w:tcBorders>
              <w:top w:val="nil"/>
              <w:left w:val="nil"/>
              <w:bottom w:val="nil"/>
              <w:right w:val="nil"/>
            </w:tcBorders>
          </w:tcPr>
          <w:p w14:paraId="6E743F8B" w14:textId="77777777" w:rsidR="004044CC" w:rsidRDefault="004044CC" w:rsidP="004044CC">
            <w:pPr>
              <w:rPr>
                <w:rFonts w:cs="Times New Roman"/>
                <w:sz w:val="24"/>
                <w:szCs w:val="24"/>
              </w:rPr>
            </w:pPr>
            <w:r>
              <w:rPr>
                <w:rFonts w:cs="Times New Roman"/>
                <w:sz w:val="24"/>
                <w:szCs w:val="24"/>
              </w:rPr>
              <w:t>Political Party of Governor</w:t>
            </w:r>
          </w:p>
        </w:tc>
        <w:tc>
          <w:tcPr>
            <w:tcW w:w="0" w:type="auto"/>
            <w:tcBorders>
              <w:top w:val="nil"/>
              <w:left w:val="nil"/>
              <w:bottom w:val="nil"/>
              <w:right w:val="nil"/>
            </w:tcBorders>
          </w:tcPr>
          <w:p w14:paraId="7CB6AB2F" w14:textId="77777777" w:rsidR="004044CC" w:rsidRDefault="004044CC" w:rsidP="004044CC">
            <w:pPr>
              <w:jc w:val="right"/>
              <w:rPr>
                <w:rFonts w:cs="Times New Roman"/>
                <w:sz w:val="24"/>
                <w:szCs w:val="24"/>
              </w:rPr>
            </w:pPr>
            <w:r>
              <w:rPr>
                <w:rFonts w:cs="Times New Roman"/>
                <w:sz w:val="24"/>
                <w:szCs w:val="24"/>
              </w:rPr>
              <w:t>N (%)</w:t>
            </w:r>
          </w:p>
        </w:tc>
      </w:tr>
      <w:tr w:rsidR="004044CC" w:rsidRPr="009E5B0F" w14:paraId="28A3381B" w14:textId="77777777" w:rsidTr="004044CC">
        <w:trPr>
          <w:trHeight w:val="92"/>
        </w:trPr>
        <w:tc>
          <w:tcPr>
            <w:tcW w:w="0" w:type="auto"/>
            <w:tcBorders>
              <w:top w:val="nil"/>
              <w:left w:val="nil"/>
              <w:bottom w:val="nil"/>
              <w:right w:val="nil"/>
            </w:tcBorders>
          </w:tcPr>
          <w:p w14:paraId="4487DBC0" w14:textId="77777777" w:rsidR="004044CC" w:rsidRDefault="004044CC" w:rsidP="004044CC">
            <w:pPr>
              <w:rPr>
                <w:rFonts w:cs="Times New Roman"/>
                <w:sz w:val="24"/>
                <w:szCs w:val="24"/>
              </w:rPr>
            </w:pPr>
            <w:r>
              <w:rPr>
                <w:rFonts w:cs="Times New Roman"/>
                <w:sz w:val="24"/>
                <w:szCs w:val="24"/>
              </w:rPr>
              <w:t xml:space="preserve">  Democrat</w:t>
            </w:r>
          </w:p>
        </w:tc>
        <w:tc>
          <w:tcPr>
            <w:tcW w:w="0" w:type="auto"/>
            <w:tcBorders>
              <w:top w:val="nil"/>
              <w:left w:val="nil"/>
              <w:bottom w:val="nil"/>
              <w:right w:val="nil"/>
            </w:tcBorders>
          </w:tcPr>
          <w:p w14:paraId="2B06381B" w14:textId="77777777" w:rsidR="004044CC" w:rsidRDefault="004044CC" w:rsidP="004044CC">
            <w:pPr>
              <w:jc w:val="right"/>
              <w:rPr>
                <w:rFonts w:cs="Times New Roman"/>
                <w:sz w:val="24"/>
                <w:szCs w:val="24"/>
              </w:rPr>
            </w:pPr>
            <w:r>
              <w:rPr>
                <w:rFonts w:cs="Times New Roman"/>
                <w:sz w:val="24"/>
                <w:szCs w:val="24"/>
              </w:rPr>
              <w:t>25 (49.0)</w:t>
            </w:r>
          </w:p>
        </w:tc>
      </w:tr>
      <w:tr w:rsidR="004044CC" w:rsidRPr="009E5B0F" w14:paraId="4D49F0D6" w14:textId="77777777" w:rsidTr="004044CC">
        <w:trPr>
          <w:trHeight w:val="92"/>
        </w:trPr>
        <w:tc>
          <w:tcPr>
            <w:tcW w:w="0" w:type="auto"/>
            <w:tcBorders>
              <w:top w:val="nil"/>
              <w:left w:val="nil"/>
              <w:bottom w:val="single" w:sz="4" w:space="0" w:color="auto"/>
              <w:right w:val="nil"/>
            </w:tcBorders>
          </w:tcPr>
          <w:p w14:paraId="18AC248D" w14:textId="77777777" w:rsidR="004044CC" w:rsidRDefault="004044CC" w:rsidP="004044CC">
            <w:pPr>
              <w:rPr>
                <w:rFonts w:cs="Times New Roman"/>
                <w:sz w:val="24"/>
                <w:szCs w:val="24"/>
              </w:rPr>
            </w:pPr>
            <w:r>
              <w:rPr>
                <w:rFonts w:cs="Times New Roman"/>
                <w:sz w:val="24"/>
                <w:szCs w:val="24"/>
              </w:rPr>
              <w:t xml:space="preserve">  Republican</w:t>
            </w:r>
          </w:p>
        </w:tc>
        <w:tc>
          <w:tcPr>
            <w:tcW w:w="0" w:type="auto"/>
            <w:tcBorders>
              <w:top w:val="nil"/>
              <w:left w:val="nil"/>
              <w:bottom w:val="single" w:sz="4" w:space="0" w:color="auto"/>
              <w:right w:val="nil"/>
            </w:tcBorders>
          </w:tcPr>
          <w:p w14:paraId="1F02E64E" w14:textId="77777777" w:rsidR="004044CC" w:rsidRDefault="004044CC" w:rsidP="004044CC">
            <w:pPr>
              <w:jc w:val="right"/>
              <w:rPr>
                <w:rFonts w:cs="Times New Roman"/>
                <w:sz w:val="24"/>
                <w:szCs w:val="24"/>
              </w:rPr>
            </w:pPr>
            <w:r>
              <w:rPr>
                <w:rFonts w:cs="Times New Roman"/>
                <w:sz w:val="24"/>
                <w:szCs w:val="24"/>
              </w:rPr>
              <w:t>26 (51.0)</w:t>
            </w:r>
          </w:p>
        </w:tc>
      </w:tr>
    </w:tbl>
    <w:p w14:paraId="788453F3" w14:textId="3D986639" w:rsidR="004044CC" w:rsidRPr="004044CC" w:rsidRDefault="002A1E47" w:rsidP="00211EB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Public transit use was low at the state-level with a median of 1.60% of the population using public transportation to commute to work (Table 1).  The median </w:t>
      </w:r>
      <w:r w:rsidR="003D461F">
        <w:rPr>
          <w:rFonts w:ascii="Times New Roman" w:hAnsi="Times New Roman" w:cs="Times New Roman"/>
          <w:sz w:val="24"/>
          <w:szCs w:val="24"/>
        </w:rPr>
        <w:t xml:space="preserve">incidence rate (0.57 cases per 100,000) and </w:t>
      </w:r>
      <w:r w:rsidR="00802CC3">
        <w:rPr>
          <w:rFonts w:ascii="Times New Roman" w:hAnsi="Times New Roman" w:cs="Times New Roman"/>
          <w:sz w:val="24"/>
          <w:szCs w:val="24"/>
        </w:rPr>
        <w:t>prevalence</w:t>
      </w:r>
      <w:r>
        <w:rPr>
          <w:rFonts w:ascii="Times New Roman" w:hAnsi="Times New Roman" w:cs="Times New Roman"/>
          <w:sz w:val="24"/>
          <w:szCs w:val="24"/>
        </w:rPr>
        <w:t xml:space="preserve"> rate at 2 weeks was fairly low (</w:t>
      </w:r>
      <w:r w:rsidR="00802CC3">
        <w:rPr>
          <w:rFonts w:ascii="Times New Roman" w:hAnsi="Times New Roman" w:cs="Times New Roman"/>
          <w:sz w:val="24"/>
          <w:szCs w:val="24"/>
        </w:rPr>
        <w:t>2.45</w:t>
      </w:r>
      <w:r>
        <w:rPr>
          <w:rFonts w:ascii="Times New Roman" w:hAnsi="Times New Roman" w:cs="Times New Roman"/>
          <w:sz w:val="24"/>
          <w:szCs w:val="24"/>
        </w:rPr>
        <w:t xml:space="preserve"> cases per 100,000) this early on in the pandemic, by April 7 the national prevalence rate was 119.6 cases </w:t>
      </w:r>
      <w:r w:rsidR="00802CC3">
        <w:rPr>
          <w:rFonts w:ascii="Times New Roman" w:hAnsi="Times New Roman" w:cs="Times New Roman"/>
          <w:sz w:val="24"/>
          <w:szCs w:val="24"/>
        </w:rPr>
        <w:t>per 100,000.</w:t>
      </w:r>
      <w:r w:rsidR="003D461F">
        <w:rPr>
          <w:rFonts w:ascii="Times New Roman" w:hAnsi="Times New Roman" w:cs="Times New Roman"/>
          <w:sz w:val="24"/>
          <w:szCs w:val="24"/>
        </w:rPr>
        <w:fldChar w:fldCharType="begin" w:fldLock="1"/>
      </w:r>
      <w:r w:rsidR="0053531E">
        <w:rPr>
          <w:rFonts w:ascii="Times New Roman" w:hAnsi="Times New Roman" w:cs="Times New Roman"/>
          <w:sz w:val="24"/>
          <w:szCs w:val="24"/>
        </w:rPr>
        <w:instrText>ADDIN CSL_CITATION {"citationItems":[{"id":"ITEM-1","itemData":{"DOI":"10.15585/mmwr.mm6915e4","ISSN":"0149-2195","abstract":"Community transmission of coronavirus disease 2019 (COVID-19) was first detected in the United States in February 2020. By mid-March, all 50 states, the District of Columbia (DC), New York City (NYC), and four U.S. territories had reported cases of COVID-19. This report describes the geographic distribution of laboratory-confirmed COVID-19 cases and related deaths reported by each U.S. state, each territory and freely associated state,* DC, and NYC during February 12-April 7, 2020, and estimates cumulative incidence for each jurisdiction. In addition, it projects the jurisdiction-level trajectory of this pandemic by estimating case doubling times on April 7 and changes in cumulative incidence during the most recent 7-day period (March 31-April 7). As of April 7, 2020, a total of 395,926 cases of COVID-19, including 12,757 related deaths, were reported in the United States. Cumulative COVID-19 incidence varied substantially by jurisdiction, ranging from 20.6 cases per 100,000 in Minnesota to 915.3 in NYC. On April 7, national case doubling time was approximately 6.5 days, although this ranged from 5.5 to 8.0 days in the 10 jurisdictions reporting the most cases. Absolute change in cumulative incidence during March 31-April 7 also varied widely, ranging from an increase of 8.3 cases per 100,000 in Minnesota to 418.0 in NYC. Geographic differences in numbers of COVID-19 cases and deaths, cumulative incidence, and changes in incidence likely reflect a combination of jurisdiction-specific epidemiologic and population-level factors, including 1) the timing of COVID-19 introductions; 2) population density; 3) age distribution and prevalence of underlying medical conditions among COVID-19 patients (1-3); 4) the timing and extent of community mitigation measures; 5) diagnostic testing capacity; and 6) public health reporting practices. Monitoring jurisdiction-level numbers of COVID-19 cases, deaths, and changes in incidence is critical for understanding community risk and making decisions about community mitigation, including social distancing, and strategic health care resource allocation.","author":[{"dropping-particle":"","family":"Bialek","given":"Stephanie","non-dropping-particle":"","parse-names":false,"suffix":""},{"dropping-particle":"","family":"Bowen","given":"Virginia","non-dropping-particle":"","parse-names":false,"suffix":""},{"dropping-particle":"","family":"Chow","given":"Nancy","non-dropping-particle":"","parse-names":false,"suffix":""},{"dropping-particle":"","family":"Curns","given":"Aaron","non-dropping-particle":"","parse-names":false,"suffix":""},{"dropping-particle":"","family":"Gierke","given":"Ryan","non-dropping-particle":"","parse-names":false,"suffix":""},{"dropping-particle":"","family":"Hall","given":"Aron","non-dropping-particle":"","parse-names":false,"suffix":""},{"dropping-particle":"","family":"Hughes","given":"Michelle","non-dropping-particle":"","parse-names":false,"suffix":""},{"dropping-particle":"","family":"Pilishvili","given":"Tamara","non-dropping-particle":"","parse-names":false,"suffix":""},{"dropping-particle":"","family":"Ritchey","given":"Matthew","non-dropping-particle":"","parse-names":false,"suffix":""},{"dropping-particle":"","family":"Roguski","given":"Katherine","non-dropping-particle":"","parse-names":false,"suffix":""},{"dropping-particle":"","family":"Silk","given":"Benjamin","non-dropping-particle":"","parse-names":false,"suffix":""},{"dropping-particle":"","family":"Skoff","given":"Tami","non-dropping-particle":"","parse-names":false,"suffix":""},{"dropping-particle":"","family":"Sundararaman","given":"Preethi","non-dropping-particle":"","parse-names":false,"suffix":""},{"dropping-particle":"","family":"Ussery","given":"Emily","non-dropping-particle":"","parse-names":false,"suffix":""},{"dropping-particle":"","family":"Vasser","given":"Michael","non-dropping-particle":"","parse-names":false,"suffix":""},{"dropping-particle":"","family":"Whitham","given":"Hilary","non-dropping-particle":"","parse-names":false,"suffix":""},{"dropping-particle":"","family":"Wen","given":"John","non-dropping-particle":"","parse-names":false,"suffix":""}],"container-title":"Morbidity and Mortality Weekly Report","id":"ITEM-1","issue":"15","issued":{"date-parts":[["2020","4","17"]]},"page":"465-471","publisher":"Centers for Disease Control MMWR Office","title":"Geographic Differences in COVID-19 Cases, Deaths, and Incidence — United States, February 12–April 7, 2020","type":"article-journal","volume":"69"},"uris":["http://www.mendeley.com/documents/?uuid=ecb9a202-edf0-32f4-b8f0-440c9ffed46a"]}],"mendeley":{"formattedCitation":"&lt;sup&gt;11&lt;/sup&gt;","plainTextFormattedCitation":"11","previouslyFormattedCitation":"&lt;sup&gt;11&lt;/sup&gt;"},"properties":{"noteIndex":0},"schema":"https://github.com/citation-style-language/schema/raw/master/csl-citation.json"}</w:instrText>
      </w:r>
      <w:r w:rsidR="003D461F">
        <w:rPr>
          <w:rFonts w:ascii="Times New Roman" w:hAnsi="Times New Roman" w:cs="Times New Roman"/>
          <w:sz w:val="24"/>
          <w:szCs w:val="24"/>
        </w:rPr>
        <w:fldChar w:fldCharType="separate"/>
      </w:r>
      <w:r w:rsidR="003D461F" w:rsidRPr="003D461F">
        <w:rPr>
          <w:rFonts w:ascii="Times New Roman" w:hAnsi="Times New Roman" w:cs="Times New Roman"/>
          <w:noProof/>
          <w:sz w:val="24"/>
          <w:szCs w:val="24"/>
          <w:vertAlign w:val="superscript"/>
        </w:rPr>
        <w:t>11</w:t>
      </w:r>
      <w:r w:rsidR="003D461F">
        <w:rPr>
          <w:rFonts w:ascii="Times New Roman" w:hAnsi="Times New Roman" w:cs="Times New Roman"/>
          <w:sz w:val="24"/>
          <w:szCs w:val="24"/>
        </w:rPr>
        <w:fldChar w:fldCharType="end"/>
      </w:r>
      <w:r w:rsidR="003D461F">
        <w:rPr>
          <w:rFonts w:ascii="Times New Roman" w:hAnsi="Times New Roman" w:cs="Times New Roman"/>
          <w:sz w:val="24"/>
          <w:szCs w:val="24"/>
        </w:rPr>
        <w:t xml:space="preserve"> There was little variation between states in terms of age (med.=38.65; IQR =37.27-39.73) or sex (med. % male = 49.00; IQR= 49.00-50.00). There was more substantial variation on race (med. % white= 71.00; IQR= 58.00-80.00), ethnicity (med. % Hispanic = 10.00; IQR =5.00-13.50), and household income (med.= 58,570; IQR=53,069-68,373).  States were fairly evenly split </w:t>
      </w:r>
      <w:r w:rsidR="00211EBF">
        <w:rPr>
          <w:rFonts w:ascii="Times New Roman" w:hAnsi="Times New Roman" w:cs="Times New Roman"/>
          <w:sz w:val="24"/>
          <w:szCs w:val="24"/>
        </w:rPr>
        <w:t>between Democratic governors (n=25) and Republican</w:t>
      </w:r>
      <w:r w:rsidR="00BF1BD2">
        <w:rPr>
          <w:rFonts w:ascii="Times New Roman" w:hAnsi="Times New Roman" w:cs="Times New Roman"/>
          <w:sz w:val="24"/>
          <w:szCs w:val="24"/>
        </w:rPr>
        <w:t xml:space="preserve"> </w:t>
      </w:r>
      <w:r w:rsidR="00211EBF">
        <w:rPr>
          <w:rFonts w:ascii="Times New Roman" w:hAnsi="Times New Roman" w:cs="Times New Roman"/>
          <w:sz w:val="24"/>
          <w:szCs w:val="24"/>
        </w:rPr>
        <w:lastRenderedPageBreak/>
        <w:t>governors (n=26).</w:t>
      </w:r>
      <w:r w:rsidR="00211EBF">
        <w:rPr>
          <w:rStyle w:val="FootnoteReference"/>
          <w:rFonts w:ascii="Times New Roman" w:hAnsi="Times New Roman" w:cs="Times New Roman"/>
          <w:sz w:val="24"/>
          <w:szCs w:val="24"/>
        </w:rPr>
        <w:footnoteReference w:id="1"/>
      </w:r>
      <w:r w:rsidR="00211EBF">
        <w:rPr>
          <w:rFonts w:ascii="Times New Roman" w:hAnsi="Times New Roman" w:cs="Times New Roman"/>
          <w:sz w:val="24"/>
          <w:szCs w:val="24"/>
        </w:rPr>
        <w:t xml:space="preserve"> The median state population size was 4.5 million (IQR=1.8-7.5) and population density was 101.2 people per square mile (IQR= 45.80-221.45).</w:t>
      </w:r>
    </w:p>
    <w:p w14:paraId="355F00CE" w14:textId="77777777" w:rsidR="004044CC" w:rsidRDefault="004044CC" w:rsidP="00211EBF">
      <w:pPr>
        <w:spacing w:line="48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2309475" wp14:editId="086B39EE">
            <wp:extent cx="5708650" cy="3919993"/>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1176"/>
                    <a:stretch/>
                  </pic:blipFill>
                  <pic:spPr bwMode="auto">
                    <a:xfrm>
                      <a:off x="0" y="0"/>
                      <a:ext cx="5721777" cy="3929007"/>
                    </a:xfrm>
                    <a:prstGeom prst="rect">
                      <a:avLst/>
                    </a:prstGeom>
                    <a:noFill/>
                    <a:ln>
                      <a:noFill/>
                    </a:ln>
                    <a:extLst>
                      <a:ext uri="{53640926-AAD7-44D8-BBD7-CCE9431645EC}">
                        <a14:shadowObscured xmlns:a14="http://schemas.microsoft.com/office/drawing/2010/main"/>
                      </a:ext>
                    </a:extLst>
                  </pic:spPr>
                </pic:pic>
              </a:graphicData>
            </a:graphic>
          </wp:inline>
        </w:drawing>
      </w:r>
    </w:p>
    <w:p w14:paraId="012C1F51" w14:textId="66B5DBC5" w:rsidR="004044CC" w:rsidRPr="00BF1BD2" w:rsidRDefault="004044CC" w:rsidP="00211EBF">
      <w:pPr>
        <w:spacing w:line="480" w:lineRule="auto"/>
        <w:rPr>
          <w:rFonts w:ascii="Times New Roman" w:hAnsi="Times New Roman" w:cs="Times New Roman"/>
          <w:b/>
          <w:bCs/>
          <w:sz w:val="24"/>
          <w:szCs w:val="24"/>
        </w:rPr>
      </w:pPr>
      <w:r w:rsidRPr="00BF1BD2">
        <w:rPr>
          <w:rFonts w:ascii="Times New Roman" w:hAnsi="Times New Roman" w:cs="Times New Roman"/>
          <w:b/>
          <w:bCs/>
          <w:sz w:val="24"/>
          <w:szCs w:val="24"/>
        </w:rPr>
        <w:t xml:space="preserve">Figure 3. Directed </w:t>
      </w:r>
      <w:proofErr w:type="spellStart"/>
      <w:r w:rsidRPr="00BF1BD2">
        <w:rPr>
          <w:rFonts w:ascii="Times New Roman" w:hAnsi="Times New Roman" w:cs="Times New Roman"/>
          <w:b/>
          <w:bCs/>
          <w:sz w:val="24"/>
          <w:szCs w:val="24"/>
        </w:rPr>
        <w:t>a</w:t>
      </w:r>
      <w:r w:rsidR="00BF1BD2" w:rsidRPr="00BF1BD2">
        <w:rPr>
          <w:rFonts w:ascii="Times New Roman" w:hAnsi="Times New Roman" w:cs="Times New Roman"/>
          <w:b/>
          <w:bCs/>
          <w:sz w:val="24"/>
          <w:szCs w:val="24"/>
        </w:rPr>
        <w:t>cylic</w:t>
      </w:r>
      <w:proofErr w:type="spellEnd"/>
      <w:r w:rsidR="00BF1BD2" w:rsidRPr="00BF1BD2">
        <w:rPr>
          <w:rFonts w:ascii="Times New Roman" w:hAnsi="Times New Roman" w:cs="Times New Roman"/>
          <w:b/>
          <w:bCs/>
          <w:sz w:val="24"/>
          <w:szCs w:val="24"/>
        </w:rPr>
        <w:t xml:space="preserve"> graph of the relationship between public transit use, COVID-19 Incidence Rate, and covariates.</w:t>
      </w:r>
    </w:p>
    <w:p w14:paraId="78E5D5BF" w14:textId="71539B80" w:rsidR="00FD0D42" w:rsidRDefault="0053531E" w:rsidP="00211EBF">
      <w:pPr>
        <w:spacing w:line="480" w:lineRule="auto"/>
        <w:rPr>
          <w:rFonts w:ascii="Times New Roman" w:hAnsi="Times New Roman" w:cs="Times New Roman"/>
          <w:sz w:val="24"/>
          <w:szCs w:val="24"/>
        </w:rPr>
      </w:pPr>
      <w:r>
        <w:rPr>
          <w:rFonts w:ascii="Times New Roman" w:hAnsi="Times New Roman" w:cs="Times New Roman"/>
          <w:sz w:val="24"/>
          <w:szCs w:val="24"/>
        </w:rPr>
        <w:tab/>
        <w:t>All covariates included in the model were potential confounders as seen in Figure 3.  Age, race, ethnicity, and income all impact public transit use on an individual level,</w:t>
      </w:r>
      <w:r w:rsidR="00FD0D42">
        <w:rPr>
          <w:rFonts w:ascii="Times New Roman" w:hAnsi="Times New Roman" w:cs="Times New Roman"/>
          <w:sz w:val="24"/>
          <w:szCs w:val="24"/>
        </w:rPr>
        <w:fldChar w:fldCharType="begin" w:fldLock="1"/>
      </w:r>
      <w:r w:rsidR="00E275DA">
        <w:rPr>
          <w:rFonts w:ascii="Times New Roman" w:hAnsi="Times New Roman" w:cs="Times New Roman"/>
          <w:sz w:val="24"/>
          <w:szCs w:val="24"/>
        </w:rPr>
        <w:instrText>ADDIN CSL_CITATION {"citationItems":[{"id":"ITEM-1","itemData":{"URL":"https://www.pewresearch.org/fact-tank/2016/04/07/who-relies-on-public-transit-in-the-u-s/","accessed":{"date-parts":[["2020","4","29"]]},"author":[{"dropping-particle":"","family":"Andersen","given":"Monica","non-dropping-particle":"","parse-names":false,"suffix":""}],"container-title":"Pew Research Center","id":"ITEM-1","issued":{"date-parts":[["2016","4","17"]]},"title":"Who relies on public transit in the U.S. ","type":"webpage"},"uris":["http://www.mendeley.com/documents/?uuid=9eac728e-f874-387d-a6c5-07ea982de25c"]}],"mendeley":{"formattedCitation":"&lt;sup&gt;12&lt;/sup&gt;","plainTextFormattedCitation":"12","previouslyFormattedCitation":"&lt;sup&gt;12&lt;/sup&gt;"},"properties":{"noteIndex":0},"schema":"https://github.com/citation-style-language/schema/raw/master/csl-citation.json"}</w:instrText>
      </w:r>
      <w:r w:rsidR="00FD0D42">
        <w:rPr>
          <w:rFonts w:ascii="Times New Roman" w:hAnsi="Times New Roman" w:cs="Times New Roman"/>
          <w:sz w:val="24"/>
          <w:szCs w:val="24"/>
        </w:rPr>
        <w:fldChar w:fldCharType="separate"/>
      </w:r>
      <w:r w:rsidR="00FD0D42" w:rsidRPr="00FD0D42">
        <w:rPr>
          <w:rFonts w:ascii="Times New Roman" w:hAnsi="Times New Roman" w:cs="Times New Roman"/>
          <w:noProof/>
          <w:sz w:val="24"/>
          <w:szCs w:val="24"/>
          <w:vertAlign w:val="superscript"/>
        </w:rPr>
        <w:t>12</w:t>
      </w:r>
      <w:r w:rsidR="00FD0D42">
        <w:rPr>
          <w:rFonts w:ascii="Times New Roman" w:hAnsi="Times New Roman" w:cs="Times New Roman"/>
          <w:sz w:val="24"/>
          <w:szCs w:val="24"/>
        </w:rPr>
        <w:fldChar w:fldCharType="end"/>
      </w:r>
      <w:r>
        <w:rPr>
          <w:rFonts w:ascii="Times New Roman" w:hAnsi="Times New Roman" w:cs="Times New Roman"/>
          <w:sz w:val="24"/>
          <w:szCs w:val="24"/>
        </w:rPr>
        <w:t xml:space="preserve"> while population size, population density, and political party of governor impact public transit use by impacting the likelihood that a well-developed public transit system will be built and maintained. Political party of governor is associated with the isolation measures ordered at the state level </w:t>
      </w:r>
      <w:r>
        <w:rPr>
          <w:rFonts w:ascii="Times New Roman" w:hAnsi="Times New Roman" w:cs="Times New Roman"/>
          <w:sz w:val="24"/>
          <w:szCs w:val="24"/>
        </w:rPr>
        <w:lastRenderedPageBreak/>
        <w:t>(e.g. stay-at-home orders) which can then impact C</w:t>
      </w:r>
      <w:r w:rsidR="00BF1BD2">
        <w:rPr>
          <w:rFonts w:ascii="Times New Roman" w:hAnsi="Times New Roman" w:cs="Times New Roman"/>
          <w:sz w:val="24"/>
          <w:szCs w:val="24"/>
        </w:rPr>
        <w:t>OVID</w:t>
      </w:r>
      <w:r>
        <w:rPr>
          <w:rFonts w:ascii="Times New Roman" w:hAnsi="Times New Roman" w:cs="Times New Roman"/>
          <w:sz w:val="24"/>
          <w:szCs w:val="24"/>
        </w:rPr>
        <w:t>-19 incidence rate, and age, race, ethnicity, income, population density, and population size all have a demonstrated relationship with C</w:t>
      </w:r>
      <w:r w:rsidR="00BF1BD2">
        <w:rPr>
          <w:rFonts w:ascii="Times New Roman" w:hAnsi="Times New Roman" w:cs="Times New Roman"/>
          <w:sz w:val="24"/>
          <w:szCs w:val="24"/>
        </w:rPr>
        <w:t>OVID</w:t>
      </w:r>
      <w:r>
        <w:rPr>
          <w:rFonts w:ascii="Times New Roman" w:hAnsi="Times New Roman" w:cs="Times New Roman"/>
          <w:sz w:val="24"/>
          <w:szCs w:val="24"/>
        </w:rPr>
        <w:t>-19 incidence rate.</w:t>
      </w:r>
      <w:r>
        <w:rPr>
          <w:rFonts w:ascii="Times New Roman" w:hAnsi="Times New Roman" w:cs="Times New Roman"/>
          <w:sz w:val="24"/>
          <w:szCs w:val="24"/>
        </w:rPr>
        <w:fldChar w:fldCharType="begin" w:fldLock="1"/>
      </w:r>
      <w:r w:rsidR="00E275DA">
        <w:rPr>
          <w:rFonts w:ascii="Times New Roman" w:hAnsi="Times New Roman" w:cs="Times New Roman"/>
          <w:sz w:val="24"/>
          <w:szCs w:val="24"/>
        </w:rPr>
        <w:instrText>ADDIN CSL_CITATION {"citationItems":[{"id":"ITEM-1","itemData":{"DOI":"10.1056/NEJMoa2002032","ISSN":"15334406","PMID":"32109013","abstract":"BACKGROUND: Since December 2019, when coronavirus disease 2019 (Covid-19) emerged in Wuhan city and rapidly spread throughout China, data have been needed on the clinical characteristics of the affected patients. METHODS: We extracted data regarding 1099 patients with laboratory-confirmed Covid-19 from 552 hospitals in 30 provinces, autonomous regions, and municipalities in China through January 29, 2020. The primary composite end point was admission to an intensive care unit (ICU), the use of mechanical ventilation, or death. RESULTS: The median age of the patients was 47 years; 41.9% of the patients were female. The primary composite end point occurred in 67 patients (6.1%), including 5.0% who were admitted to the ICU, 2.3% who underwent invasive mechanical ventilation, and 1.4% who died. Only 1.9% of the patients had a history of direct contact with wildlife. Among nonresidents of Wuhan, 72.3% had contact with residents of Wuhan, including 31.3% who had visited the city. The most common symptoms were fever (43.8% on admission and 88.7% during hospitalization) and cough (67.8%). Diarrhea was uncommon (3.8%). The median incubation period was 4 days (interquartile range, 2 to 7). On admission, ground-glass opacity was the most common radiologic finding on chest computed tomography (CT) (56.4%). No radiographic or CT abnormality was found in 157 of 877 patients (17.9%) with nonsevere disease and in 5 of 173 patients (2.9%) with severe disease. Lymphocytopenia was present in 83.2% of the patients on admission. CONCLUSIONS: During the first 2 months of the current outbreak, Covid-19 spread rapidly throughout China and caused varying degrees of illness. Patients often presented without fever, and many did not have abnormal radiologic findings. (Funded by the National Health Commission of China and others.).","author":[{"dropping-particle":"","family":"Guan","given":"Wei Jie","non-dropping-particle":"","parse-names":false,"suffix":""},{"dropping-particle":"","family":"Ni","given":"Zheng Yi","non-dropping-particle":"","parse-names":false,"suffix":""},{"dropping-particle":"","family":"Hu","given":"Yu","non-dropping-particle":"","parse-names":false,"suffix":""},{"dropping-particle":"","family":"Liang","given":"Wen Hua","non-dropping-particle":"","parse-names":false,"suffix":""},{"dropping-particle":"","family":"Ou","given":"Chun Quan","non-dropping-particle":"","parse-names":false,"suffix":""},{"dropping-particle":"","family":"He","given":"Jian Xing","non-dropping-particle":"","parse-names":false,"suffix":""},{"dropping-particle":"","family":"Liu","given":"Lei","non-dropping-particle":"","parse-names":false,"suffix":""},{"dropping-particle":"","family":"Shan","given":"Hong","non-dropping-particle":"","parse-names":false,"suffix":""},{"dropping-particle":"","family":"Lei","given":"Chun Liang","non-dropping-particle":"","parse-names":false,"suffix":""},{"dropping-particle":"","family":"Hui","given":"David S.C.","non-dropping-particle":"","parse-names":false,"suffix":""},{"dropping-particle":"","family":"Du","given":"Bin","non-dropping-particle":"","parse-names":false,"suffix":""},{"dropping-particle":"","family":"Li","given":"Lan Juan","non-dropping-particle":"","parse-names":false,"suffix":""},{"dropping-particle":"","family":"Zeng","given":"Guang","non-dropping-particle":"","parse-names":false,"suffix":""},{"dropping-particle":"","family":"Yuen","given":"Kwok Yung","non-dropping-particle":"","parse-names":false,"suffix":""},{"dropping-particle":"","family":"Chen","given":"Ru Chong","non-dropping-particle":"","parse-names":false,"suffix":""},{"dropping-particle":"","family":"Tang","given":"Chun Li","non-dropping-particle":"","parse-names":false,"suffix":""},{"dropping-particle":"","family":"Wang","given":"Tao","non-dropping-particle":"","parse-names":false,"suffix":""},{"dropping-particle":"","family":"Chen","given":"Ping Yan","non-dropping-particle":"","parse-names":false,"suffix":""},{"dropping-particle":"","family":"Xiang","given":"Jie","non-dropping-particle":"","parse-names":false,"suffix":""},{"dropping-particle":"","family":"Li","given":"Shi Yue","non-dropping-particle":"","parse-names":false,"suffix":""},{"dropping-particle":"","family":"Wang","given":"Jin Lin","non-dropping-particle":"","parse-names":false,"suffix":""},{"dropping-particle":"","family":"Liang","given":"Zi Jing","non-dropping-particle":"","parse-names":false,"suffix":""},{"dropping-particle":"","family":"Peng","given":"Yi Xiang","non-dropping-particle":"","parse-names":false,"suffix":""},{"dropping-particle":"","family":"Wei","given":"Li","non-dropping-particle":"","parse-names":false,"suffix":""},{"dropping-particle":"","family":"Liu","given":"Yong","non-dropping-particle":"","parse-names":false,"suffix":""},{"dropping-particle":"","family":"Hu","given":"Ya Hua","non-dropping-particle":"","parse-names":false,"suffix":""},{"dropping-particle":"","family":"Peng","given":"Peng","non-dropping-particle":"","parse-names":false,"suffix":""},{"dropping-particle":"","family":"Wang","given":"Jian Ming","non-dropping-particle":"","parse-names":false,"suffix":""},{"dropping-particle":"","family":"Liu","given":"Ji Yang","non-dropping-particle":"","parse-names":false,"suffix":""},{"dropping-particle":"","family":"Chen","given":"Zhong","non-dropping-particle":"","parse-names":false,"suffix":""},{"dropping-particle":"","family":"Li","given":"Gang","non-dropping-particle":"","parse-names":false,"suffix":""},{"dropping-particle":"","family":"Zheng","given":"Zhi Jian","non-dropping-particle":"","parse-names":false,"suffix":""},{"dropping-particle":"","family":"Qiu","given":"Shao Qin","non-dropping-particle":"","parse-names":false,"suffix":""},{"dropping-particle":"","family":"Luo","given":"Jie","non-dropping-particle":"","parse-names":false,"suffix":""},{"dropping-particle":"","family":"Ye","given":"Chang Jiang","non-dropping-particle":"","parse-names":false,"suffix":""},{"dropping-particle":"","family":"Zhu","given":"Shao Yong","non-dropping-particle":"","parse-names":false,"suffix":""},{"dropping-particle":"","family":"Zhong","given":"Nan Shan","non-dropping-particle":"","parse-names":false,"suffix":""}],"container-title":"The New England journal of medicine","id":"ITEM-1","issued":{"date-parts":[["2020","2","28"]]},"publisher":"NLM (Medline)","title":"Clinical Characteristics of Coronavirus Disease 2019 in China","type":"article-journal"},"uris":["http://www.mendeley.com/documents/?uuid=a6653551-5096-34b6-a83a-3a279fec65b8"]},{"id":"ITEM-2","itemData":{"DOI":"10.15585/mmwr.mm6915e3","ISSN":"0149-2195","abstract":"Since SARS-CoV-2, the novel coronavirus that causes coronavirus disease 2019 (COVID-19), was first detected in December 2019 (1), approximately 1.3 million cases have been reported worldwide (2), including approximately 330,000 in the United States (3). To conduct population-based surveillance for laboratory-confirmed COVID-19-associated hospitalizations in the United States, the COVID-19-Associated Hospitalization Surveillance Network (COVID-NET) was created using the existing infrastructure of the Influenza Hospitalization Surveillance Network (FluSurv-NET) (4) and the Respiratory Syncytial Virus Hospitalization Surveillance Network (RSV-NET). This report presents age-stratified COVID-19-associated hospitalization rates for patients admitted during March 1-28, 2020, and clinical data on patients admitted during March 1-30, 2020, the first month of U.S. surveillance. Among 1,482 patients hospitalized with COVID-19, 74.5% were aged ≥50 years, and 54.4% were male. The hospitalization rate among patients identified through COVID-NET during this 4-week period was 4.6 per 100,000 population. Rates were highest (13.8) among adults aged ≥65 years. Among 178 (12%) adult patients with data on underlying conditions as of March 30, 2020, 89.3% had one or more underlying conditions; the most common were hypertension (49.7%), obesity (48.3%), chronic lung disease (34.6%), diabetes mellitus (28.3%), and cardiovascular disease (27.8%). These findings suggest that older adults have elevated rates of COVID-19-associated hospitalization and the majority of persons hospitalized with COVID-19 have underlying medical conditions. These findings underscore the importance of preventive measures (e.g., social distancing, respiratory hygiene, and wearing face coverings in public settings where social distancing measures are difficult to maintain)† to protect older adults and persons with underlying medical conditions, as well as the general public. In addition, older adults and persons with serious underlying medical conditions should avoid contact with persons who are ill and immediately contact their health care provider(s) if they have symptoms consistent with COVID-19 (https://www.cdc.gov/coronavirus/2019-ncov/symptoms-testing/symptoms.html) (5). Ongoing monitoring of hospitalization rates, clinical characteristics, and outcomes of hospitalized patients will be important to better understand the evolving epidemiology of COVID-19 in the United States and the clinical spectru…","author":[{"dropping-particle":"","family":"Garg","given":"Shikha","non-dropping-particle":"","parse-names":false,"suffix":""},{"dropping-particle":"","family":"Kim","given":"Lindsay","non-dropping-particle":"","parse-names":false,"suffix":""},{"dropping-particle":"","family":"Whitaker","given":"Michael","non-dropping-particle":"","parse-names":false,"suffix":""},{"dropping-particle":"","family":"O’Halloran","given":"Alissa","non-dropping-particle":"","parse-names":false,"suffix":""},{"dropping-particle":"","family":"Cummings","given":"Charisse","non-dropping-particle":"","parse-names":false,"suffix":""},{"dropping-particle":"","family":"Holstein","given":"Rachel","non-dropping-particle":"","parse-names":false,"suffix":""},{"dropping-particle":"","family":"Prill","given":"Mila","non-dropping-particle":"","parse-names":false,"suffix":""},{"dropping-particle":"","family":"Chai","given":"Shua J.","non-dropping-particle":"","parse-names":false,"suffix":""},{"dropping-particle":"","family":"Kirley","given":"Pam D.","non-dropping-particle":"","parse-names":false,"suffix":""},{"dropping-particle":"","family":"Alden","given":"Nisha B.","non-dropping-particle":"","parse-names":false,"suffix":""},{"dropping-particle":"","family":"Kawasaki","given":"Breanna","non-dropping-particle":"","parse-names":false,"suffix":""},{"dropping-particle":"","family":"Yousey-Hindes","given":"Kimberly","non-dropping-particle":"","parse-names":false,"suffix":""},{"dropping-particle":"","family":"Niccolai","given":"Linda","non-dropping-particle":"","parse-names":false,"suffix":""},{"dropping-particle":"","family":"Anderson","given":"Evan J.","non-dropping-particle":"","parse-names":false,"suffix":""},{"dropping-particle":"","family":"Openo","given":"Kyle P.","non-dropping-particle":"","parse-names":false,"suffix":""},{"dropping-particle":"","family":"Weigel","given":"Andrew","non-dropping-particle":"","parse-names":false,"suffix":""},{"dropping-particle":"","family":"Monroe","given":"Maya L.","non-dropping-particle":"","parse-names":false,"suffix":""},{"dropping-particle":"","family":"Ryan","given":"Patricia","non-dropping-particle":"","parse-names":false,"suffix":""},{"dropping-particle":"","family":"Henderson","given":"Justin","non-dropping-particle":"","parse-names":false,"suffix":""},{"dropping-particle":"","family":"Kim","given":"Sue","non-dropping-particle":"","parse-names":false,"suffix":""},{"dropping-particle":"","family":"Como-Sabetti","given":"Kathy","non-dropping-particle":"","parse-names":false,"suffix":""},{"dropping-particle":"","family":"Lynfield","given":"Ruth","non-dropping-particle":"","parse-names":false,"suffix":""},{"dropping-particle":"","family":"Sosin","given":"Daniel","non-dropping-particle":"","parse-names":false,"suffix":""},{"dropping-particle":"","family":"Torres","given":"Salina","non-dropping-particle":"","parse-names":false,"suffix":""},{"dropping-particle":"","family":"Muse","given":"Alison","non-dropping-particle":"","parse-names":false,"suffix":""},{"dropping-particle":"","family":"Bennett","given":"Nancy M.","non-dropping-particle":"","parse-names":false,"suffix":""},{"dropping-particle":"","family":"Billing","given":"Laurie","non-dropping-particle":"","parse-names":false,"suffix":""},{"dropping-particle":"","family":"Sutton","given":"Melissa","non-dropping-particle":"","parse-names":false,"suffix":""},{"dropping-particle":"","family":"West","given":"Nicole","non-dropping-particle":"","parse-names":false,"suffix":""},{"dropping-particle":"","family":"Schaffner","given":"William","non-dropping-particle":"","parse-names":false,"suffix":""},{"dropping-particle":"","family":"Talbot","given":"H. Keipp","non-dropping-particle":"","parse-names":false,"suffix":""},{"dropping-particle":"","family":"Aquino","given":"Clarissa","non-dropping-particle":"","parse-names":false,"suffix":""},{"dropping-particle":"","family":"George","given":"Andrea","non-dropping-particle":"","parse-names":false,"suffix":""},{"dropping-particle":"","family":"Budd","given":"Alicia","non-dropping-particle":"","parse-names":false,"suffix":""},{"dropping-particle":"","family":"Brammer","given":"Lynnette","non-dropping-particle":"","parse-names":false,"suffix":""},{"dropping-particle":"","family":"Langley","given":"Gayle","non-dropping-particle":"","parse-names":false,"suffix":""},{"dropping-particle":"","family":"Hall","given":"Aron J.","non-dropping-particle":"","parse-names":false,"suffix":""},{"dropping-particle":"","family":"Fry","given":"Alicia","non-dropping-particle":"","parse-names":false,"suffix":""}],"container-title":"Morbidity and Mortality Weekly Report","id":"ITEM-2","issue":"15","issued":{"date-parts":[["2020","4","17"]]},"page":"458-464","publisher":"Centers for Disease Control MMWR Office","title":"Hospitalization Rates and Characteristics of Patients Hospitalized with Laboratory-Confirmed Coronavirus Disease 2019 — COVID-NET, 14 States, March 1–30, 2020","type":"article-journal","volume":"69"},"uris":["http://www.mendeley.com/documents/?uuid=40bdec24-1151-3344-80e3-f2ecc5d7409f"]},{"id":"ITEM-3","itemData":{"URL":"https://www.brookings.edu/blog/up-front/2020/04/06/we-dont-need-a-map-to-tell-us-who-covid-19-hits-the-hardest-in-st-louis/","accessed":{"date-parts":[["2020","4","29"]]},"author":[{"dropping-particle":"","family":"Grinstein-Weiss","given":"Michal","non-dropping-particle":"","parse-names":false,"suffix":""},{"dropping-particle":"","family":"Gupta","given":"Brinda","non-dropping-particle":"","parse-names":false,"suffix":""}],"container-title":"Brookings","id":"ITEM-3","issued":{"date-parts":[["2020","4","8"]]},"title":"We don’t need a map to tell us who COVID-19 hits the hardest in St. Louis","type":"webpage"},"uris":["http://www.mendeley.com/documents/?uuid=fdbc4150-83dd-3d92-bbe1-b7f5f3db512c"]}],"mendeley":{"formattedCitation":"&lt;sup&gt;13–15&lt;/sup&gt;","plainTextFormattedCitation":"13–15","previouslyFormattedCitation":"&lt;sup&gt;13–15&lt;/sup&gt;"},"properties":{"noteIndex":0},"schema":"https://github.com/citation-style-language/schema/raw/master/csl-citation.json"}</w:instrText>
      </w:r>
      <w:r>
        <w:rPr>
          <w:rFonts w:ascii="Times New Roman" w:hAnsi="Times New Roman" w:cs="Times New Roman"/>
          <w:sz w:val="24"/>
          <w:szCs w:val="24"/>
        </w:rPr>
        <w:fldChar w:fldCharType="separate"/>
      </w:r>
      <w:r w:rsidR="00FD0D42" w:rsidRPr="00FD0D42">
        <w:rPr>
          <w:rFonts w:ascii="Times New Roman" w:hAnsi="Times New Roman" w:cs="Times New Roman"/>
          <w:noProof/>
          <w:sz w:val="24"/>
          <w:szCs w:val="24"/>
          <w:vertAlign w:val="superscript"/>
        </w:rPr>
        <w:t>13–15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F816E6B" w14:textId="77777777" w:rsidR="009242F1" w:rsidRPr="00211EBF" w:rsidRDefault="009242F1" w:rsidP="00211EBF">
      <w:pPr>
        <w:spacing w:line="480" w:lineRule="auto"/>
        <w:rPr>
          <w:rFonts w:ascii="Times New Roman" w:hAnsi="Times New Roman" w:cs="Times New Roman"/>
          <w:sz w:val="24"/>
          <w:szCs w:val="24"/>
        </w:rPr>
      </w:pPr>
    </w:p>
    <w:tbl>
      <w:tblPr>
        <w:tblStyle w:val="TableGrid"/>
        <w:tblpPr w:leftFromText="180" w:rightFromText="180" w:vertAnchor="text" w:horzAnchor="margin" w:tblpY="39"/>
        <w:tblW w:w="51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3110"/>
        <w:gridCol w:w="2615"/>
      </w:tblGrid>
      <w:tr w:rsidR="00BF1BD2" w:rsidRPr="00E75803" w14:paraId="6E14AD1E" w14:textId="77777777" w:rsidTr="00BF1BD2">
        <w:trPr>
          <w:trHeight w:val="347"/>
        </w:trPr>
        <w:tc>
          <w:tcPr>
            <w:tcW w:w="5000" w:type="pct"/>
            <w:gridSpan w:val="3"/>
            <w:tcBorders>
              <w:bottom w:val="single" w:sz="4" w:space="0" w:color="auto"/>
            </w:tcBorders>
          </w:tcPr>
          <w:p w14:paraId="2386310E" w14:textId="77777777" w:rsidR="00BF1BD2" w:rsidRPr="00441ABB" w:rsidRDefault="00BF1BD2" w:rsidP="00BF1BD2">
            <w:pPr>
              <w:tabs>
                <w:tab w:val="right" w:pos="9589"/>
              </w:tabs>
              <w:rPr>
                <w:rFonts w:ascii="Times" w:hAnsi="Times"/>
                <w:b/>
                <w:bCs/>
                <w:iCs/>
                <w:sz w:val="24"/>
                <w:szCs w:val="24"/>
              </w:rPr>
            </w:pPr>
            <w:r w:rsidRPr="00441ABB">
              <w:rPr>
                <w:rFonts w:ascii="Times" w:hAnsi="Times"/>
                <w:b/>
                <w:bCs/>
                <w:iCs/>
                <w:sz w:val="24"/>
                <w:szCs w:val="24"/>
              </w:rPr>
              <w:t xml:space="preserve">Table 2. Negative binomial distribution of </w:t>
            </w:r>
            <w:r>
              <w:rPr>
                <w:rFonts w:ascii="Times" w:hAnsi="Times"/>
                <w:b/>
                <w:bCs/>
                <w:iCs/>
                <w:sz w:val="24"/>
                <w:szCs w:val="24"/>
              </w:rPr>
              <w:t>prevalence</w:t>
            </w:r>
            <w:r w:rsidRPr="00441ABB">
              <w:rPr>
                <w:rFonts w:ascii="Times" w:hAnsi="Times"/>
                <w:b/>
                <w:bCs/>
                <w:iCs/>
                <w:sz w:val="24"/>
                <w:szCs w:val="24"/>
              </w:rPr>
              <w:t xml:space="preserve"> rate</w:t>
            </w:r>
            <w:r>
              <w:rPr>
                <w:rFonts w:ascii="Times" w:hAnsi="Times"/>
                <w:b/>
                <w:bCs/>
                <w:iCs/>
                <w:sz w:val="24"/>
                <w:szCs w:val="24"/>
              </w:rPr>
              <w:t>.</w:t>
            </w:r>
            <w:r w:rsidRPr="00441ABB">
              <w:rPr>
                <w:rFonts w:ascii="Times" w:hAnsi="Times"/>
                <w:b/>
                <w:bCs/>
                <w:iCs/>
                <w:sz w:val="24"/>
                <w:szCs w:val="24"/>
              </w:rPr>
              <w:tab/>
            </w:r>
          </w:p>
        </w:tc>
      </w:tr>
      <w:tr w:rsidR="00BF1BD2" w:rsidRPr="00E75803" w14:paraId="73309A75" w14:textId="77777777" w:rsidTr="00BF1BD2">
        <w:trPr>
          <w:trHeight w:val="347"/>
        </w:trPr>
        <w:tc>
          <w:tcPr>
            <w:tcW w:w="2029" w:type="pct"/>
            <w:tcBorders>
              <w:top w:val="single" w:sz="4" w:space="0" w:color="auto"/>
              <w:bottom w:val="single" w:sz="4" w:space="0" w:color="auto"/>
            </w:tcBorders>
          </w:tcPr>
          <w:p w14:paraId="2A42393B" w14:textId="77777777" w:rsidR="00BF1BD2" w:rsidRPr="00E75803" w:rsidRDefault="00BF1BD2" w:rsidP="00BF1BD2">
            <w:pPr>
              <w:rPr>
                <w:rFonts w:ascii="Times" w:hAnsi="Times"/>
                <w:b/>
                <w:i/>
                <w:sz w:val="24"/>
                <w:szCs w:val="24"/>
              </w:rPr>
            </w:pPr>
            <w:r>
              <w:rPr>
                <w:rFonts w:ascii="Times" w:hAnsi="Times"/>
                <w:b/>
                <w:i/>
                <w:sz w:val="24"/>
                <w:szCs w:val="24"/>
              </w:rPr>
              <w:t>Variable</w:t>
            </w:r>
          </w:p>
        </w:tc>
        <w:tc>
          <w:tcPr>
            <w:tcW w:w="1614" w:type="pct"/>
            <w:tcBorders>
              <w:top w:val="single" w:sz="4" w:space="0" w:color="auto"/>
              <w:bottom w:val="single" w:sz="4" w:space="0" w:color="auto"/>
            </w:tcBorders>
          </w:tcPr>
          <w:p w14:paraId="499A6479" w14:textId="77777777" w:rsidR="00BF1BD2" w:rsidRPr="00E75803" w:rsidRDefault="00BF1BD2" w:rsidP="00BF1BD2">
            <w:pPr>
              <w:rPr>
                <w:rFonts w:ascii="Times" w:hAnsi="Times"/>
                <w:b/>
                <w:i/>
                <w:sz w:val="24"/>
                <w:szCs w:val="24"/>
              </w:rPr>
            </w:pPr>
            <w:r>
              <w:rPr>
                <w:rFonts w:ascii="Times" w:hAnsi="Times"/>
                <w:b/>
                <w:i/>
                <w:sz w:val="24"/>
                <w:szCs w:val="24"/>
              </w:rPr>
              <w:t>Prev. Rate Ratio</w:t>
            </w:r>
          </w:p>
        </w:tc>
        <w:tc>
          <w:tcPr>
            <w:tcW w:w="1355" w:type="pct"/>
            <w:tcBorders>
              <w:top w:val="single" w:sz="4" w:space="0" w:color="auto"/>
              <w:bottom w:val="single" w:sz="4" w:space="0" w:color="auto"/>
            </w:tcBorders>
          </w:tcPr>
          <w:p w14:paraId="430D6035" w14:textId="77777777" w:rsidR="00BF1BD2" w:rsidRPr="00E75803" w:rsidRDefault="00BF1BD2" w:rsidP="00BF1BD2">
            <w:pPr>
              <w:rPr>
                <w:rFonts w:ascii="Times" w:hAnsi="Times"/>
                <w:b/>
                <w:i/>
                <w:sz w:val="24"/>
                <w:szCs w:val="24"/>
              </w:rPr>
            </w:pPr>
            <w:r w:rsidRPr="00E75803">
              <w:rPr>
                <w:rFonts w:ascii="Times" w:hAnsi="Times"/>
                <w:b/>
                <w:i/>
                <w:sz w:val="24"/>
                <w:szCs w:val="24"/>
              </w:rPr>
              <w:t>95% CI</w:t>
            </w:r>
          </w:p>
        </w:tc>
      </w:tr>
      <w:tr w:rsidR="00BF1BD2" w:rsidRPr="00E75803" w14:paraId="2F6BE160" w14:textId="77777777" w:rsidTr="00BF1BD2">
        <w:trPr>
          <w:trHeight w:val="347"/>
        </w:trPr>
        <w:tc>
          <w:tcPr>
            <w:tcW w:w="2029" w:type="pct"/>
            <w:tcBorders>
              <w:top w:val="single" w:sz="4" w:space="0" w:color="auto"/>
            </w:tcBorders>
          </w:tcPr>
          <w:p w14:paraId="2AA2661A" w14:textId="77777777" w:rsidR="00BF1BD2" w:rsidRDefault="00BF1BD2" w:rsidP="00BF1BD2">
            <w:pPr>
              <w:rPr>
                <w:rFonts w:ascii="Times" w:hAnsi="Times"/>
                <w:sz w:val="24"/>
                <w:szCs w:val="24"/>
              </w:rPr>
            </w:pPr>
            <w:r>
              <w:rPr>
                <w:rFonts w:ascii="Times" w:hAnsi="Times"/>
                <w:sz w:val="24"/>
                <w:szCs w:val="24"/>
              </w:rPr>
              <w:t>Public Transit Use</w:t>
            </w:r>
          </w:p>
        </w:tc>
        <w:tc>
          <w:tcPr>
            <w:tcW w:w="1614" w:type="pct"/>
            <w:tcBorders>
              <w:top w:val="single" w:sz="4" w:space="0" w:color="auto"/>
            </w:tcBorders>
            <w:vAlign w:val="center"/>
          </w:tcPr>
          <w:p w14:paraId="3333C6FE" w14:textId="77777777" w:rsidR="00BF1BD2" w:rsidRDefault="00BF1BD2" w:rsidP="00BF1BD2">
            <w:pPr>
              <w:rPr>
                <w:rFonts w:ascii="Times" w:hAnsi="Times"/>
                <w:sz w:val="24"/>
                <w:szCs w:val="24"/>
              </w:rPr>
            </w:pPr>
            <w:r>
              <w:rPr>
                <w:rFonts w:ascii="Times" w:hAnsi="Times"/>
                <w:sz w:val="24"/>
                <w:szCs w:val="24"/>
              </w:rPr>
              <w:t>1.054</w:t>
            </w:r>
          </w:p>
        </w:tc>
        <w:tc>
          <w:tcPr>
            <w:tcW w:w="1355" w:type="pct"/>
            <w:tcBorders>
              <w:top w:val="single" w:sz="4" w:space="0" w:color="auto"/>
            </w:tcBorders>
            <w:vAlign w:val="center"/>
          </w:tcPr>
          <w:p w14:paraId="6465C60E" w14:textId="77777777" w:rsidR="00BF1BD2" w:rsidRPr="00E75803" w:rsidRDefault="00BF1BD2" w:rsidP="00BF1BD2">
            <w:pPr>
              <w:rPr>
                <w:rFonts w:ascii="Times" w:hAnsi="Times"/>
                <w:sz w:val="24"/>
                <w:szCs w:val="24"/>
              </w:rPr>
            </w:pPr>
            <w:r>
              <w:rPr>
                <w:rFonts w:ascii="Times" w:hAnsi="Times"/>
                <w:sz w:val="24"/>
                <w:szCs w:val="24"/>
              </w:rPr>
              <w:t>[0.972-1.143]</w:t>
            </w:r>
          </w:p>
        </w:tc>
      </w:tr>
      <w:tr w:rsidR="00BF1BD2" w:rsidRPr="00E75803" w14:paraId="32CB5767" w14:textId="77777777" w:rsidTr="00BF1BD2">
        <w:trPr>
          <w:trHeight w:val="334"/>
        </w:trPr>
        <w:tc>
          <w:tcPr>
            <w:tcW w:w="2029" w:type="pct"/>
          </w:tcPr>
          <w:p w14:paraId="58B1F4FE" w14:textId="77777777" w:rsidR="00BF1BD2" w:rsidRPr="00E75803" w:rsidRDefault="00BF1BD2" w:rsidP="00BF1BD2">
            <w:pPr>
              <w:rPr>
                <w:rFonts w:ascii="Times" w:hAnsi="Times"/>
                <w:sz w:val="24"/>
                <w:szCs w:val="24"/>
              </w:rPr>
            </w:pPr>
            <w:r>
              <w:rPr>
                <w:rFonts w:ascii="Times" w:hAnsi="Times"/>
                <w:sz w:val="24"/>
                <w:szCs w:val="24"/>
              </w:rPr>
              <w:t>Population Density</w:t>
            </w:r>
          </w:p>
        </w:tc>
        <w:tc>
          <w:tcPr>
            <w:tcW w:w="1614" w:type="pct"/>
            <w:vAlign w:val="center"/>
          </w:tcPr>
          <w:p w14:paraId="3E109B4D" w14:textId="77777777" w:rsidR="00BF1BD2" w:rsidRPr="00E75803" w:rsidRDefault="00BF1BD2" w:rsidP="00BF1BD2">
            <w:pPr>
              <w:rPr>
                <w:rFonts w:ascii="Times" w:hAnsi="Times"/>
                <w:sz w:val="24"/>
                <w:szCs w:val="24"/>
              </w:rPr>
            </w:pPr>
            <w:r>
              <w:rPr>
                <w:rFonts w:ascii="Times" w:hAnsi="Times"/>
                <w:sz w:val="24"/>
                <w:szCs w:val="24"/>
              </w:rPr>
              <w:t xml:space="preserve">1.000 </w:t>
            </w:r>
          </w:p>
        </w:tc>
        <w:tc>
          <w:tcPr>
            <w:tcW w:w="1355" w:type="pct"/>
            <w:vAlign w:val="center"/>
          </w:tcPr>
          <w:p w14:paraId="1E22A973" w14:textId="77777777" w:rsidR="00BF1BD2" w:rsidRPr="00E75803" w:rsidRDefault="00BF1BD2" w:rsidP="00BF1BD2">
            <w:pPr>
              <w:rPr>
                <w:rFonts w:ascii="Times" w:hAnsi="Times"/>
                <w:sz w:val="24"/>
                <w:szCs w:val="24"/>
              </w:rPr>
            </w:pPr>
            <w:r w:rsidRPr="00E75803">
              <w:rPr>
                <w:rFonts w:ascii="Times" w:hAnsi="Times"/>
                <w:sz w:val="24"/>
                <w:szCs w:val="24"/>
              </w:rPr>
              <w:t>[</w:t>
            </w:r>
            <w:r>
              <w:rPr>
                <w:rFonts w:ascii="Times" w:hAnsi="Times"/>
                <w:sz w:val="24"/>
                <w:szCs w:val="24"/>
              </w:rPr>
              <w:t>1.000-1.000</w:t>
            </w:r>
            <w:r w:rsidRPr="00E75803">
              <w:rPr>
                <w:rFonts w:ascii="Times" w:hAnsi="Times"/>
                <w:sz w:val="24"/>
                <w:szCs w:val="24"/>
              </w:rPr>
              <w:t>]</w:t>
            </w:r>
          </w:p>
        </w:tc>
      </w:tr>
      <w:tr w:rsidR="00BF1BD2" w:rsidRPr="00E75803" w14:paraId="3E3D9443" w14:textId="77777777" w:rsidTr="00BF1BD2">
        <w:trPr>
          <w:trHeight w:val="347"/>
        </w:trPr>
        <w:tc>
          <w:tcPr>
            <w:tcW w:w="2029" w:type="pct"/>
          </w:tcPr>
          <w:p w14:paraId="3DE4CDDB" w14:textId="77777777" w:rsidR="00BF1BD2" w:rsidRDefault="00BF1BD2" w:rsidP="00BF1BD2">
            <w:pPr>
              <w:rPr>
                <w:rFonts w:ascii="Times" w:hAnsi="Times"/>
                <w:sz w:val="24"/>
                <w:szCs w:val="24"/>
              </w:rPr>
            </w:pPr>
            <w:r>
              <w:rPr>
                <w:rFonts w:ascii="Times" w:hAnsi="Times"/>
                <w:sz w:val="24"/>
                <w:szCs w:val="24"/>
              </w:rPr>
              <w:t>Population Size</w:t>
            </w:r>
          </w:p>
        </w:tc>
        <w:tc>
          <w:tcPr>
            <w:tcW w:w="1614" w:type="pct"/>
            <w:vAlign w:val="center"/>
          </w:tcPr>
          <w:p w14:paraId="0DBA1052" w14:textId="77777777" w:rsidR="00BF1BD2" w:rsidRDefault="00BF1BD2" w:rsidP="00BF1BD2">
            <w:pPr>
              <w:rPr>
                <w:rFonts w:ascii="Times" w:hAnsi="Times"/>
                <w:sz w:val="24"/>
                <w:szCs w:val="24"/>
              </w:rPr>
            </w:pPr>
            <w:r>
              <w:rPr>
                <w:rFonts w:ascii="Times" w:hAnsi="Times"/>
                <w:sz w:val="24"/>
                <w:szCs w:val="24"/>
              </w:rPr>
              <w:t>1.000*</w:t>
            </w:r>
          </w:p>
        </w:tc>
        <w:tc>
          <w:tcPr>
            <w:tcW w:w="1355" w:type="pct"/>
            <w:vAlign w:val="center"/>
          </w:tcPr>
          <w:p w14:paraId="3610D163" w14:textId="77777777" w:rsidR="00BF1BD2" w:rsidRPr="00E75803" w:rsidRDefault="00BF1BD2" w:rsidP="00BF1BD2">
            <w:pPr>
              <w:rPr>
                <w:rFonts w:ascii="Times" w:hAnsi="Times"/>
                <w:sz w:val="24"/>
                <w:szCs w:val="24"/>
              </w:rPr>
            </w:pPr>
            <w:r>
              <w:rPr>
                <w:rFonts w:ascii="Times" w:hAnsi="Times"/>
                <w:sz w:val="24"/>
                <w:szCs w:val="24"/>
              </w:rPr>
              <w:t>[1.000-1.000]</w:t>
            </w:r>
          </w:p>
        </w:tc>
      </w:tr>
      <w:tr w:rsidR="00BF1BD2" w:rsidRPr="00E75803" w14:paraId="17D84CD1" w14:textId="77777777" w:rsidTr="00BF1BD2">
        <w:trPr>
          <w:trHeight w:val="347"/>
        </w:trPr>
        <w:tc>
          <w:tcPr>
            <w:tcW w:w="2029" w:type="pct"/>
          </w:tcPr>
          <w:p w14:paraId="5B6DAB40" w14:textId="77777777" w:rsidR="00BF1BD2" w:rsidRPr="00E75803" w:rsidRDefault="00BF1BD2" w:rsidP="00BF1BD2">
            <w:pPr>
              <w:rPr>
                <w:rFonts w:ascii="Times" w:hAnsi="Times"/>
                <w:sz w:val="24"/>
                <w:szCs w:val="24"/>
              </w:rPr>
            </w:pPr>
            <w:r>
              <w:rPr>
                <w:rFonts w:ascii="Times" w:hAnsi="Times"/>
                <w:sz w:val="24"/>
                <w:szCs w:val="24"/>
              </w:rPr>
              <w:t>Age</w:t>
            </w:r>
          </w:p>
        </w:tc>
        <w:tc>
          <w:tcPr>
            <w:tcW w:w="1614" w:type="pct"/>
            <w:vAlign w:val="center"/>
          </w:tcPr>
          <w:p w14:paraId="194F9915" w14:textId="77777777" w:rsidR="00BF1BD2" w:rsidRPr="00E75803" w:rsidRDefault="00BF1BD2" w:rsidP="00BF1BD2">
            <w:pPr>
              <w:rPr>
                <w:rFonts w:ascii="Times" w:hAnsi="Times"/>
                <w:sz w:val="24"/>
                <w:szCs w:val="24"/>
              </w:rPr>
            </w:pPr>
            <w:r>
              <w:rPr>
                <w:rFonts w:ascii="Times" w:hAnsi="Times"/>
                <w:sz w:val="24"/>
                <w:szCs w:val="24"/>
              </w:rPr>
              <w:t>0.985</w:t>
            </w:r>
          </w:p>
        </w:tc>
        <w:tc>
          <w:tcPr>
            <w:tcW w:w="1355" w:type="pct"/>
            <w:vAlign w:val="center"/>
          </w:tcPr>
          <w:p w14:paraId="1DB08483" w14:textId="77777777" w:rsidR="00BF1BD2" w:rsidRPr="00E75803" w:rsidRDefault="00BF1BD2" w:rsidP="00BF1BD2">
            <w:pPr>
              <w:rPr>
                <w:rFonts w:ascii="Times" w:hAnsi="Times"/>
                <w:sz w:val="24"/>
                <w:szCs w:val="24"/>
              </w:rPr>
            </w:pPr>
            <w:r w:rsidRPr="00E75803">
              <w:rPr>
                <w:rFonts w:ascii="Times" w:hAnsi="Times"/>
                <w:sz w:val="24"/>
                <w:szCs w:val="24"/>
              </w:rPr>
              <w:t>[</w:t>
            </w:r>
            <w:r>
              <w:rPr>
                <w:rFonts w:ascii="Times" w:hAnsi="Times"/>
                <w:sz w:val="24"/>
                <w:szCs w:val="24"/>
              </w:rPr>
              <w:t>0.905-1.072</w:t>
            </w:r>
            <w:r w:rsidRPr="00E75803">
              <w:rPr>
                <w:rFonts w:ascii="Times" w:hAnsi="Times"/>
                <w:sz w:val="24"/>
                <w:szCs w:val="24"/>
              </w:rPr>
              <w:t>]</w:t>
            </w:r>
          </w:p>
        </w:tc>
      </w:tr>
      <w:tr w:rsidR="00BF1BD2" w:rsidRPr="00E75803" w14:paraId="2B57DD07" w14:textId="77777777" w:rsidTr="00BF1BD2">
        <w:trPr>
          <w:trHeight w:val="347"/>
        </w:trPr>
        <w:tc>
          <w:tcPr>
            <w:tcW w:w="2029" w:type="pct"/>
          </w:tcPr>
          <w:p w14:paraId="60079C61" w14:textId="77777777" w:rsidR="00BF1BD2" w:rsidRDefault="00BF1BD2" w:rsidP="00BF1BD2">
            <w:pPr>
              <w:rPr>
                <w:rFonts w:ascii="Times" w:hAnsi="Times"/>
                <w:sz w:val="24"/>
                <w:szCs w:val="24"/>
              </w:rPr>
            </w:pPr>
            <w:r>
              <w:rPr>
                <w:rFonts w:ascii="Times" w:hAnsi="Times"/>
                <w:sz w:val="24"/>
                <w:szCs w:val="24"/>
              </w:rPr>
              <w:t>Male</w:t>
            </w:r>
          </w:p>
        </w:tc>
        <w:tc>
          <w:tcPr>
            <w:tcW w:w="1614" w:type="pct"/>
            <w:vAlign w:val="center"/>
          </w:tcPr>
          <w:p w14:paraId="1F0726C2" w14:textId="77777777" w:rsidR="00BF1BD2" w:rsidRDefault="00BF1BD2" w:rsidP="00BF1BD2">
            <w:pPr>
              <w:rPr>
                <w:rFonts w:ascii="Times" w:hAnsi="Times"/>
                <w:sz w:val="24"/>
                <w:szCs w:val="24"/>
              </w:rPr>
            </w:pPr>
            <w:r>
              <w:rPr>
                <w:rFonts w:ascii="Times" w:hAnsi="Times"/>
                <w:sz w:val="24"/>
                <w:szCs w:val="24"/>
              </w:rPr>
              <w:t xml:space="preserve">1.116  </w:t>
            </w:r>
          </w:p>
        </w:tc>
        <w:tc>
          <w:tcPr>
            <w:tcW w:w="1355" w:type="pct"/>
            <w:vAlign w:val="center"/>
          </w:tcPr>
          <w:p w14:paraId="70669B11" w14:textId="77777777" w:rsidR="00BF1BD2" w:rsidRPr="00E75803" w:rsidRDefault="00BF1BD2" w:rsidP="00BF1BD2">
            <w:pPr>
              <w:rPr>
                <w:rFonts w:ascii="Times" w:hAnsi="Times"/>
                <w:sz w:val="24"/>
                <w:szCs w:val="24"/>
              </w:rPr>
            </w:pPr>
            <w:r>
              <w:rPr>
                <w:rFonts w:ascii="Times" w:hAnsi="Times"/>
                <w:sz w:val="24"/>
                <w:szCs w:val="24"/>
              </w:rPr>
              <w:t>[0.752-1.656]</w:t>
            </w:r>
          </w:p>
        </w:tc>
      </w:tr>
      <w:tr w:rsidR="00BF1BD2" w:rsidRPr="00E75803" w14:paraId="26114236" w14:textId="77777777" w:rsidTr="00BF1BD2">
        <w:trPr>
          <w:trHeight w:val="347"/>
        </w:trPr>
        <w:tc>
          <w:tcPr>
            <w:tcW w:w="2029" w:type="pct"/>
          </w:tcPr>
          <w:p w14:paraId="64C72723" w14:textId="77777777" w:rsidR="00BF1BD2" w:rsidRPr="00E75803" w:rsidRDefault="00BF1BD2" w:rsidP="00BF1BD2">
            <w:pPr>
              <w:rPr>
                <w:rFonts w:ascii="Times" w:hAnsi="Times"/>
                <w:sz w:val="24"/>
                <w:szCs w:val="24"/>
              </w:rPr>
            </w:pPr>
            <w:r>
              <w:rPr>
                <w:rFonts w:ascii="Times" w:hAnsi="Times"/>
                <w:sz w:val="24"/>
                <w:szCs w:val="24"/>
              </w:rPr>
              <w:t>Non-Hispanic white</w:t>
            </w:r>
          </w:p>
        </w:tc>
        <w:tc>
          <w:tcPr>
            <w:tcW w:w="1614" w:type="pct"/>
            <w:vAlign w:val="center"/>
          </w:tcPr>
          <w:p w14:paraId="47356280" w14:textId="77777777" w:rsidR="00BF1BD2" w:rsidRPr="00E75803" w:rsidRDefault="00BF1BD2" w:rsidP="00BF1BD2">
            <w:pPr>
              <w:rPr>
                <w:rFonts w:ascii="Times" w:hAnsi="Times"/>
                <w:sz w:val="24"/>
                <w:szCs w:val="24"/>
              </w:rPr>
            </w:pPr>
            <w:r>
              <w:rPr>
                <w:rFonts w:ascii="Times" w:hAnsi="Times"/>
                <w:sz w:val="24"/>
                <w:szCs w:val="24"/>
              </w:rPr>
              <w:t xml:space="preserve">0.985  </w:t>
            </w:r>
          </w:p>
        </w:tc>
        <w:tc>
          <w:tcPr>
            <w:tcW w:w="1355" w:type="pct"/>
            <w:vAlign w:val="center"/>
          </w:tcPr>
          <w:p w14:paraId="66109AD8" w14:textId="77777777" w:rsidR="00BF1BD2" w:rsidRPr="00E75803" w:rsidRDefault="00BF1BD2" w:rsidP="00BF1BD2">
            <w:pPr>
              <w:rPr>
                <w:rFonts w:ascii="Times" w:hAnsi="Times"/>
                <w:sz w:val="24"/>
                <w:szCs w:val="24"/>
              </w:rPr>
            </w:pPr>
            <w:r w:rsidRPr="00E75803">
              <w:rPr>
                <w:rFonts w:ascii="Times" w:hAnsi="Times"/>
                <w:sz w:val="24"/>
                <w:szCs w:val="24"/>
              </w:rPr>
              <w:t>[</w:t>
            </w:r>
            <w:r>
              <w:rPr>
                <w:rFonts w:ascii="Times" w:hAnsi="Times"/>
                <w:sz w:val="24"/>
                <w:szCs w:val="24"/>
              </w:rPr>
              <w:t>0.964-1.007</w:t>
            </w:r>
            <w:r w:rsidRPr="00E75803">
              <w:rPr>
                <w:rFonts w:ascii="Times" w:hAnsi="Times"/>
                <w:sz w:val="24"/>
                <w:szCs w:val="24"/>
              </w:rPr>
              <w:t>]</w:t>
            </w:r>
          </w:p>
        </w:tc>
      </w:tr>
      <w:tr w:rsidR="00BF1BD2" w:rsidRPr="00E75803" w14:paraId="382A00FB" w14:textId="77777777" w:rsidTr="00BF1BD2">
        <w:trPr>
          <w:trHeight w:val="347"/>
        </w:trPr>
        <w:tc>
          <w:tcPr>
            <w:tcW w:w="2029" w:type="pct"/>
          </w:tcPr>
          <w:p w14:paraId="7F25E11D" w14:textId="77777777" w:rsidR="00BF1BD2" w:rsidRPr="00E75803" w:rsidRDefault="00BF1BD2" w:rsidP="00BF1BD2">
            <w:pPr>
              <w:rPr>
                <w:rFonts w:ascii="Times" w:hAnsi="Times"/>
                <w:sz w:val="24"/>
                <w:szCs w:val="24"/>
              </w:rPr>
            </w:pPr>
            <w:r>
              <w:rPr>
                <w:rFonts w:ascii="Times" w:hAnsi="Times"/>
                <w:sz w:val="24"/>
                <w:szCs w:val="24"/>
              </w:rPr>
              <w:t>Hispanic</w:t>
            </w:r>
          </w:p>
        </w:tc>
        <w:tc>
          <w:tcPr>
            <w:tcW w:w="1614" w:type="pct"/>
            <w:vAlign w:val="center"/>
          </w:tcPr>
          <w:p w14:paraId="6B3A0B05" w14:textId="77777777" w:rsidR="00BF1BD2" w:rsidRPr="00E75803" w:rsidRDefault="00BF1BD2" w:rsidP="00BF1BD2">
            <w:pPr>
              <w:rPr>
                <w:rFonts w:ascii="Times" w:hAnsi="Times"/>
                <w:sz w:val="24"/>
                <w:szCs w:val="24"/>
              </w:rPr>
            </w:pPr>
            <w:r>
              <w:rPr>
                <w:rFonts w:ascii="Times" w:hAnsi="Times"/>
                <w:sz w:val="24"/>
                <w:szCs w:val="24"/>
              </w:rPr>
              <w:t>0.956 *</w:t>
            </w:r>
          </w:p>
        </w:tc>
        <w:tc>
          <w:tcPr>
            <w:tcW w:w="1355" w:type="pct"/>
            <w:vAlign w:val="center"/>
          </w:tcPr>
          <w:p w14:paraId="2CC5B7D4" w14:textId="77777777" w:rsidR="00BF1BD2" w:rsidRPr="00E75803" w:rsidRDefault="00BF1BD2" w:rsidP="00BF1BD2">
            <w:pPr>
              <w:rPr>
                <w:rFonts w:ascii="Times" w:hAnsi="Times"/>
                <w:sz w:val="24"/>
                <w:szCs w:val="24"/>
              </w:rPr>
            </w:pPr>
            <w:r w:rsidRPr="00E75803">
              <w:rPr>
                <w:rFonts w:ascii="Times" w:hAnsi="Times"/>
                <w:sz w:val="24"/>
                <w:szCs w:val="24"/>
              </w:rPr>
              <w:t>[</w:t>
            </w:r>
            <w:r>
              <w:rPr>
                <w:rFonts w:ascii="Times" w:hAnsi="Times"/>
                <w:sz w:val="24"/>
                <w:szCs w:val="24"/>
              </w:rPr>
              <w:t>0.920-0.994</w:t>
            </w:r>
            <w:r w:rsidRPr="00E75803">
              <w:rPr>
                <w:rFonts w:ascii="Times" w:hAnsi="Times"/>
                <w:sz w:val="24"/>
                <w:szCs w:val="24"/>
              </w:rPr>
              <w:t>]</w:t>
            </w:r>
          </w:p>
        </w:tc>
      </w:tr>
      <w:tr w:rsidR="00BF1BD2" w:rsidRPr="00E75803" w14:paraId="036338FD" w14:textId="77777777" w:rsidTr="00BF1BD2">
        <w:trPr>
          <w:trHeight w:val="347"/>
        </w:trPr>
        <w:tc>
          <w:tcPr>
            <w:tcW w:w="2029" w:type="pct"/>
          </w:tcPr>
          <w:p w14:paraId="3E74632B" w14:textId="77777777" w:rsidR="00BF1BD2" w:rsidRPr="00E75803" w:rsidRDefault="00BF1BD2" w:rsidP="00BF1BD2">
            <w:pPr>
              <w:rPr>
                <w:rFonts w:ascii="Times" w:hAnsi="Times"/>
                <w:sz w:val="24"/>
                <w:szCs w:val="24"/>
              </w:rPr>
            </w:pPr>
            <w:r>
              <w:rPr>
                <w:rFonts w:ascii="Times" w:hAnsi="Times"/>
                <w:sz w:val="24"/>
                <w:szCs w:val="24"/>
              </w:rPr>
              <w:t>Household Income</w:t>
            </w:r>
          </w:p>
        </w:tc>
        <w:tc>
          <w:tcPr>
            <w:tcW w:w="1614" w:type="pct"/>
            <w:vAlign w:val="center"/>
          </w:tcPr>
          <w:p w14:paraId="120D3520" w14:textId="77777777" w:rsidR="00BF1BD2" w:rsidRPr="00E75803" w:rsidRDefault="00BF1BD2" w:rsidP="00BF1BD2">
            <w:pPr>
              <w:rPr>
                <w:rFonts w:ascii="Times" w:hAnsi="Times"/>
                <w:sz w:val="24"/>
                <w:szCs w:val="24"/>
              </w:rPr>
            </w:pPr>
            <w:r>
              <w:rPr>
                <w:rFonts w:ascii="Times" w:hAnsi="Times"/>
                <w:sz w:val="24"/>
                <w:szCs w:val="24"/>
              </w:rPr>
              <w:t>1.000 **</w:t>
            </w:r>
          </w:p>
        </w:tc>
        <w:tc>
          <w:tcPr>
            <w:tcW w:w="1355" w:type="pct"/>
            <w:vAlign w:val="center"/>
          </w:tcPr>
          <w:p w14:paraId="1FBBD190" w14:textId="77777777" w:rsidR="00BF1BD2" w:rsidRPr="00E75803" w:rsidRDefault="00BF1BD2" w:rsidP="00BF1BD2">
            <w:pPr>
              <w:rPr>
                <w:rFonts w:ascii="Times" w:hAnsi="Times"/>
                <w:sz w:val="24"/>
                <w:szCs w:val="24"/>
              </w:rPr>
            </w:pPr>
            <w:r w:rsidRPr="00E75803">
              <w:rPr>
                <w:rFonts w:ascii="Times" w:hAnsi="Times"/>
                <w:sz w:val="24"/>
                <w:szCs w:val="24"/>
              </w:rPr>
              <w:t>[</w:t>
            </w:r>
            <w:r>
              <w:rPr>
                <w:rFonts w:ascii="Times" w:hAnsi="Times"/>
                <w:sz w:val="24"/>
                <w:szCs w:val="24"/>
              </w:rPr>
              <w:t>1.000-1.000</w:t>
            </w:r>
            <w:r w:rsidRPr="00E75803">
              <w:rPr>
                <w:rFonts w:ascii="Times" w:hAnsi="Times"/>
                <w:sz w:val="24"/>
                <w:szCs w:val="24"/>
              </w:rPr>
              <w:t>]</w:t>
            </w:r>
          </w:p>
        </w:tc>
      </w:tr>
      <w:tr w:rsidR="00BF1BD2" w:rsidRPr="00E75803" w14:paraId="2FFECA47" w14:textId="77777777" w:rsidTr="00BF1BD2">
        <w:trPr>
          <w:trHeight w:val="347"/>
        </w:trPr>
        <w:tc>
          <w:tcPr>
            <w:tcW w:w="2029" w:type="pct"/>
            <w:tcBorders>
              <w:bottom w:val="single" w:sz="4" w:space="0" w:color="auto"/>
            </w:tcBorders>
          </w:tcPr>
          <w:p w14:paraId="108DF3D1" w14:textId="77777777" w:rsidR="00BF1BD2" w:rsidRPr="00E75803" w:rsidRDefault="00BF1BD2" w:rsidP="00BF1BD2">
            <w:pPr>
              <w:rPr>
                <w:rFonts w:ascii="Times" w:hAnsi="Times"/>
                <w:sz w:val="24"/>
                <w:szCs w:val="24"/>
              </w:rPr>
            </w:pPr>
            <w:r>
              <w:rPr>
                <w:rFonts w:ascii="Times" w:hAnsi="Times"/>
                <w:sz w:val="24"/>
                <w:szCs w:val="24"/>
              </w:rPr>
              <w:t>Republican Governor</w:t>
            </w:r>
          </w:p>
        </w:tc>
        <w:tc>
          <w:tcPr>
            <w:tcW w:w="1614" w:type="pct"/>
            <w:tcBorders>
              <w:bottom w:val="single" w:sz="4" w:space="0" w:color="auto"/>
            </w:tcBorders>
            <w:vAlign w:val="center"/>
          </w:tcPr>
          <w:p w14:paraId="30CF4B5B" w14:textId="77777777" w:rsidR="00BF1BD2" w:rsidRPr="00E75803" w:rsidRDefault="00BF1BD2" w:rsidP="00BF1BD2">
            <w:pPr>
              <w:rPr>
                <w:rFonts w:ascii="Times" w:hAnsi="Times"/>
                <w:sz w:val="24"/>
                <w:szCs w:val="24"/>
              </w:rPr>
            </w:pPr>
            <w:r>
              <w:rPr>
                <w:rFonts w:ascii="Times" w:hAnsi="Times"/>
                <w:sz w:val="24"/>
                <w:szCs w:val="24"/>
              </w:rPr>
              <w:t>0.522 *</w:t>
            </w:r>
          </w:p>
        </w:tc>
        <w:tc>
          <w:tcPr>
            <w:tcW w:w="1355" w:type="pct"/>
            <w:tcBorders>
              <w:bottom w:val="single" w:sz="4" w:space="0" w:color="auto"/>
            </w:tcBorders>
            <w:vAlign w:val="center"/>
          </w:tcPr>
          <w:p w14:paraId="1B8A9EE7" w14:textId="77777777" w:rsidR="00BF1BD2" w:rsidRPr="00E75803" w:rsidRDefault="00BF1BD2" w:rsidP="00BF1BD2">
            <w:pPr>
              <w:rPr>
                <w:rFonts w:ascii="Times" w:hAnsi="Times"/>
                <w:sz w:val="24"/>
                <w:szCs w:val="24"/>
              </w:rPr>
            </w:pPr>
            <w:r>
              <w:rPr>
                <w:rFonts w:ascii="Times" w:hAnsi="Times"/>
                <w:sz w:val="24"/>
                <w:szCs w:val="24"/>
              </w:rPr>
              <w:t>[0.275-0.988]</w:t>
            </w:r>
          </w:p>
        </w:tc>
      </w:tr>
      <w:tr w:rsidR="00BF1BD2" w:rsidRPr="00E75803" w14:paraId="6CE3589F" w14:textId="77777777" w:rsidTr="00BF1BD2">
        <w:trPr>
          <w:trHeight w:val="347"/>
        </w:trPr>
        <w:tc>
          <w:tcPr>
            <w:tcW w:w="5000" w:type="pct"/>
            <w:gridSpan w:val="3"/>
            <w:tcBorders>
              <w:top w:val="single" w:sz="4" w:space="0" w:color="auto"/>
            </w:tcBorders>
          </w:tcPr>
          <w:p w14:paraId="5CA2CEC6" w14:textId="77777777" w:rsidR="00BF1BD2" w:rsidRPr="00E75803" w:rsidRDefault="00BF1BD2" w:rsidP="00BF1BD2">
            <w:pPr>
              <w:rPr>
                <w:rFonts w:ascii="Times" w:hAnsi="Times"/>
                <w:i/>
                <w:sz w:val="24"/>
                <w:szCs w:val="24"/>
              </w:rPr>
            </w:pPr>
            <w:r w:rsidRPr="00E75803">
              <w:rPr>
                <w:rFonts w:ascii="Times" w:hAnsi="Times"/>
                <w:i/>
                <w:sz w:val="24"/>
                <w:szCs w:val="24"/>
              </w:rPr>
              <w:t xml:space="preserve">Note: </w:t>
            </w:r>
            <w:r>
              <w:rPr>
                <w:rFonts w:ascii="Times" w:hAnsi="Times"/>
                <w:i/>
                <w:sz w:val="24"/>
                <w:szCs w:val="24"/>
              </w:rPr>
              <w:t>Punctuation indicates significance at the following levels:</w:t>
            </w:r>
            <w:r w:rsidRPr="003E6681">
              <w:rPr>
                <w:rFonts w:ascii="Times" w:hAnsi="Times"/>
                <w:i/>
                <w:sz w:val="24"/>
                <w:szCs w:val="24"/>
              </w:rPr>
              <w:t xml:space="preserve"> '**' </w:t>
            </w:r>
            <w:proofErr w:type="gramStart"/>
            <w:r w:rsidRPr="003E6681">
              <w:rPr>
                <w:rFonts w:ascii="Times" w:hAnsi="Times"/>
                <w:i/>
                <w:sz w:val="24"/>
                <w:szCs w:val="24"/>
              </w:rPr>
              <w:t xml:space="preserve">0.01 </w:t>
            </w:r>
            <w:r>
              <w:rPr>
                <w:rFonts w:ascii="Times" w:hAnsi="Times"/>
                <w:i/>
                <w:sz w:val="24"/>
                <w:szCs w:val="24"/>
              </w:rPr>
              <w:t>;</w:t>
            </w:r>
            <w:proofErr w:type="gramEnd"/>
            <w:r w:rsidRPr="003E6681">
              <w:rPr>
                <w:rFonts w:ascii="Times" w:hAnsi="Times"/>
                <w:i/>
                <w:sz w:val="24"/>
                <w:szCs w:val="24"/>
              </w:rPr>
              <w:t xml:space="preserve">'*' 0.05 </w:t>
            </w:r>
            <w:r>
              <w:rPr>
                <w:rFonts w:ascii="Times" w:hAnsi="Times"/>
                <w:i/>
                <w:sz w:val="24"/>
                <w:szCs w:val="24"/>
              </w:rPr>
              <w:t xml:space="preserve">; </w:t>
            </w:r>
            <w:r w:rsidRPr="003E6681">
              <w:rPr>
                <w:rFonts w:ascii="Times" w:hAnsi="Times"/>
                <w:i/>
                <w:sz w:val="24"/>
                <w:szCs w:val="24"/>
              </w:rPr>
              <w:t>'.' 0.1</w:t>
            </w:r>
          </w:p>
        </w:tc>
      </w:tr>
    </w:tbl>
    <w:p w14:paraId="712740DE" w14:textId="77777777" w:rsidR="009242F1" w:rsidRDefault="009242F1" w:rsidP="00BF1BD2">
      <w:pPr>
        <w:spacing w:line="480" w:lineRule="auto"/>
        <w:ind w:firstLine="720"/>
        <w:rPr>
          <w:rFonts w:ascii="Times New Roman" w:hAnsi="Times New Roman" w:cs="Times New Roman"/>
          <w:sz w:val="24"/>
          <w:szCs w:val="24"/>
        </w:rPr>
      </w:pPr>
    </w:p>
    <w:p w14:paraId="2490C5B7" w14:textId="0DF0FD04" w:rsidR="00C86DC4" w:rsidRDefault="00FD0D42" w:rsidP="00BF1B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negative binomial model of the impact of public transit use on prevalence rate adjusted for population density, population size, age, sex, race, ethnicity, income, and political party of governor did not show a statistically significant relationship (p=0.203)</w:t>
      </w:r>
      <w:r w:rsidR="00973D45">
        <w:rPr>
          <w:rFonts w:ascii="Times New Roman" w:hAnsi="Times New Roman" w:cs="Times New Roman"/>
          <w:sz w:val="24"/>
          <w:szCs w:val="24"/>
        </w:rPr>
        <w:t xml:space="preserve"> (Table 2)</w:t>
      </w:r>
      <w:r>
        <w:rPr>
          <w:rFonts w:ascii="Times New Roman" w:hAnsi="Times New Roman" w:cs="Times New Roman"/>
          <w:sz w:val="24"/>
          <w:szCs w:val="24"/>
        </w:rPr>
        <w:t xml:space="preserve">. </w:t>
      </w:r>
      <w:r w:rsidR="00973D45">
        <w:rPr>
          <w:rFonts w:ascii="Times New Roman" w:hAnsi="Times New Roman" w:cs="Times New Roman"/>
          <w:sz w:val="24"/>
          <w:szCs w:val="24"/>
        </w:rPr>
        <w:t xml:space="preserve">A state with a 1 percentage point higher public transit use would have a 5.4% increase in the prevalence rate (PRR=1.054; 95% CI: 0.972-1.143). Given that the 95% confidence interval crosses 1 and the p-value is greater than 0.05, </w:t>
      </w:r>
      <w:r w:rsidR="00EB56D6">
        <w:rPr>
          <w:rFonts w:ascii="Times New Roman" w:hAnsi="Times New Roman" w:cs="Times New Roman"/>
          <w:sz w:val="24"/>
          <w:szCs w:val="24"/>
        </w:rPr>
        <w:t>it is not certain that higher public transit use is associated with an increased prevalence rate. In the model, only population size, household income, Hispanic-ethnicity, and the political party of the governor had a statistically significant relationship with prevalence rate. Of these only the political party of the governor and Hispanic</w:t>
      </w:r>
      <w:r w:rsidR="00BF1BD2">
        <w:rPr>
          <w:rFonts w:ascii="Times New Roman" w:hAnsi="Times New Roman" w:cs="Times New Roman"/>
          <w:sz w:val="24"/>
          <w:szCs w:val="24"/>
        </w:rPr>
        <w:t xml:space="preserve"> </w:t>
      </w:r>
      <w:r w:rsidR="00EB56D6">
        <w:rPr>
          <w:rFonts w:ascii="Times New Roman" w:hAnsi="Times New Roman" w:cs="Times New Roman"/>
          <w:sz w:val="24"/>
          <w:szCs w:val="24"/>
        </w:rPr>
        <w:t>ethnicity had meaningful prevalence rate ratios. States with Republican governors had a 47.8% decrease in the prevalence rate</w:t>
      </w:r>
      <w:r w:rsidR="004044CC">
        <w:rPr>
          <w:rFonts w:ascii="Times New Roman" w:hAnsi="Times New Roman" w:cs="Times New Roman"/>
          <w:sz w:val="24"/>
          <w:szCs w:val="24"/>
        </w:rPr>
        <w:t xml:space="preserve"> compared to states with Democratic governors</w:t>
      </w:r>
      <w:r w:rsidR="00EB56D6">
        <w:rPr>
          <w:rFonts w:ascii="Times New Roman" w:hAnsi="Times New Roman" w:cs="Times New Roman"/>
          <w:sz w:val="24"/>
          <w:szCs w:val="24"/>
        </w:rPr>
        <w:t xml:space="preserve"> (PRR=0.522; 95% CI: 0.275-0.988; p&lt;0.05). A state with a 1 percentage point higher proportion of Hispanic residents would have a 4.4% decrease in the prevalence rate (PRR=0.956; 95% CI:0.920-0.994; p&lt;0.05).</w:t>
      </w:r>
    </w:p>
    <w:p w14:paraId="2E400B94" w14:textId="77777777" w:rsidR="009242F1" w:rsidRPr="00BF1BD2" w:rsidRDefault="009242F1" w:rsidP="00BF1BD2">
      <w:pPr>
        <w:spacing w:line="480" w:lineRule="auto"/>
        <w:ind w:firstLine="72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606"/>
        <w:gridCol w:w="2254"/>
      </w:tblGrid>
      <w:tr w:rsidR="00C86DC4" w:rsidRPr="00E75803" w14:paraId="01036302" w14:textId="77777777" w:rsidTr="00FD0D42">
        <w:trPr>
          <w:trHeight w:val="326"/>
        </w:trPr>
        <w:tc>
          <w:tcPr>
            <w:tcW w:w="5000" w:type="pct"/>
            <w:gridSpan w:val="3"/>
            <w:tcBorders>
              <w:bottom w:val="single" w:sz="4" w:space="0" w:color="auto"/>
            </w:tcBorders>
          </w:tcPr>
          <w:p w14:paraId="1DAC9601" w14:textId="61016E9E" w:rsidR="00C86DC4" w:rsidRPr="00441ABB" w:rsidRDefault="00C86DC4" w:rsidP="004044CC">
            <w:pPr>
              <w:tabs>
                <w:tab w:val="right" w:pos="9589"/>
              </w:tabs>
              <w:rPr>
                <w:rFonts w:ascii="Times" w:hAnsi="Times"/>
                <w:b/>
                <w:bCs/>
                <w:iCs/>
                <w:sz w:val="24"/>
                <w:szCs w:val="24"/>
              </w:rPr>
            </w:pPr>
            <w:r w:rsidRPr="00441ABB">
              <w:rPr>
                <w:rFonts w:ascii="Times" w:hAnsi="Times"/>
                <w:b/>
                <w:bCs/>
                <w:iCs/>
                <w:sz w:val="24"/>
                <w:szCs w:val="24"/>
              </w:rPr>
              <w:lastRenderedPageBreak/>
              <w:t xml:space="preserve">Table 3. Negative binomial distribution of </w:t>
            </w:r>
            <w:r w:rsidR="002253B4">
              <w:rPr>
                <w:rFonts w:ascii="Times" w:hAnsi="Times"/>
                <w:b/>
                <w:bCs/>
                <w:iCs/>
                <w:sz w:val="24"/>
                <w:szCs w:val="24"/>
              </w:rPr>
              <w:t>incidence</w:t>
            </w:r>
            <w:r w:rsidRPr="00441ABB">
              <w:rPr>
                <w:rFonts w:ascii="Times" w:hAnsi="Times"/>
                <w:b/>
                <w:bCs/>
                <w:iCs/>
                <w:sz w:val="24"/>
                <w:szCs w:val="24"/>
              </w:rPr>
              <w:t xml:space="preserve"> rate</w:t>
            </w:r>
            <w:r w:rsidR="00FD0D42">
              <w:rPr>
                <w:rFonts w:ascii="Times" w:hAnsi="Times"/>
                <w:b/>
                <w:bCs/>
                <w:iCs/>
                <w:sz w:val="24"/>
                <w:szCs w:val="24"/>
              </w:rPr>
              <w:t>.</w:t>
            </w:r>
            <w:r w:rsidRPr="00441ABB">
              <w:rPr>
                <w:rFonts w:ascii="Times" w:hAnsi="Times"/>
                <w:b/>
                <w:bCs/>
                <w:iCs/>
                <w:sz w:val="24"/>
                <w:szCs w:val="24"/>
              </w:rPr>
              <w:tab/>
            </w:r>
          </w:p>
        </w:tc>
      </w:tr>
      <w:tr w:rsidR="00FD0D42" w:rsidRPr="00E75803" w14:paraId="381E8C4A" w14:textId="77777777" w:rsidTr="00FD0D42">
        <w:trPr>
          <w:trHeight w:val="326"/>
        </w:trPr>
        <w:tc>
          <w:tcPr>
            <w:tcW w:w="2404" w:type="pct"/>
            <w:tcBorders>
              <w:top w:val="single" w:sz="4" w:space="0" w:color="auto"/>
              <w:bottom w:val="single" w:sz="4" w:space="0" w:color="auto"/>
            </w:tcBorders>
          </w:tcPr>
          <w:p w14:paraId="79F9F181" w14:textId="37FC7761" w:rsidR="00C86DC4" w:rsidRPr="00E75803" w:rsidRDefault="009E5B0F" w:rsidP="004044CC">
            <w:pPr>
              <w:rPr>
                <w:rFonts w:ascii="Times" w:hAnsi="Times"/>
                <w:b/>
                <w:i/>
                <w:sz w:val="24"/>
                <w:szCs w:val="24"/>
              </w:rPr>
            </w:pPr>
            <w:r>
              <w:rPr>
                <w:rFonts w:ascii="Times" w:hAnsi="Times"/>
                <w:b/>
                <w:i/>
                <w:sz w:val="24"/>
                <w:szCs w:val="24"/>
              </w:rPr>
              <w:t>Variable</w:t>
            </w:r>
          </w:p>
        </w:tc>
        <w:tc>
          <w:tcPr>
            <w:tcW w:w="1392" w:type="pct"/>
            <w:tcBorders>
              <w:top w:val="single" w:sz="4" w:space="0" w:color="auto"/>
              <w:bottom w:val="single" w:sz="4" w:space="0" w:color="auto"/>
            </w:tcBorders>
          </w:tcPr>
          <w:p w14:paraId="04B2E165" w14:textId="7A7CDF77" w:rsidR="00C86DC4" w:rsidRPr="00E75803" w:rsidRDefault="002253B4" w:rsidP="00C86DC4">
            <w:pPr>
              <w:rPr>
                <w:rFonts w:ascii="Times" w:hAnsi="Times"/>
                <w:b/>
                <w:i/>
                <w:sz w:val="24"/>
                <w:szCs w:val="24"/>
              </w:rPr>
            </w:pPr>
            <w:proofErr w:type="spellStart"/>
            <w:r>
              <w:rPr>
                <w:rFonts w:ascii="Times" w:hAnsi="Times"/>
                <w:b/>
                <w:i/>
                <w:sz w:val="24"/>
                <w:szCs w:val="24"/>
              </w:rPr>
              <w:t>Incid</w:t>
            </w:r>
            <w:proofErr w:type="spellEnd"/>
            <w:r w:rsidR="00C86DC4">
              <w:rPr>
                <w:rFonts w:ascii="Times" w:hAnsi="Times"/>
                <w:b/>
                <w:i/>
                <w:sz w:val="24"/>
                <w:szCs w:val="24"/>
              </w:rPr>
              <w:t>. Rate Ratio</w:t>
            </w:r>
          </w:p>
        </w:tc>
        <w:tc>
          <w:tcPr>
            <w:tcW w:w="1204" w:type="pct"/>
            <w:tcBorders>
              <w:top w:val="single" w:sz="4" w:space="0" w:color="auto"/>
              <w:bottom w:val="single" w:sz="4" w:space="0" w:color="auto"/>
            </w:tcBorders>
          </w:tcPr>
          <w:p w14:paraId="5D7DA48D" w14:textId="77777777" w:rsidR="00C86DC4" w:rsidRPr="00E75803" w:rsidRDefault="00C86DC4" w:rsidP="009E5B0F">
            <w:pPr>
              <w:rPr>
                <w:rFonts w:ascii="Times" w:hAnsi="Times"/>
                <w:b/>
                <w:i/>
                <w:sz w:val="24"/>
                <w:szCs w:val="24"/>
              </w:rPr>
            </w:pPr>
            <w:r w:rsidRPr="00E75803">
              <w:rPr>
                <w:rFonts w:ascii="Times" w:hAnsi="Times"/>
                <w:b/>
                <w:i/>
                <w:sz w:val="24"/>
                <w:szCs w:val="24"/>
              </w:rPr>
              <w:t>95% CI</w:t>
            </w:r>
          </w:p>
        </w:tc>
      </w:tr>
      <w:tr w:rsidR="00C86DC4" w:rsidRPr="00E75803" w14:paraId="31976A1C" w14:textId="77777777" w:rsidTr="00FD0D42">
        <w:trPr>
          <w:trHeight w:val="326"/>
        </w:trPr>
        <w:tc>
          <w:tcPr>
            <w:tcW w:w="2404" w:type="pct"/>
            <w:tcBorders>
              <w:top w:val="single" w:sz="4" w:space="0" w:color="auto"/>
            </w:tcBorders>
          </w:tcPr>
          <w:p w14:paraId="06F8CF46" w14:textId="77777777" w:rsidR="00C86DC4" w:rsidRDefault="00C86DC4" w:rsidP="004044CC">
            <w:pPr>
              <w:rPr>
                <w:rFonts w:ascii="Times" w:hAnsi="Times"/>
                <w:sz w:val="24"/>
                <w:szCs w:val="24"/>
              </w:rPr>
            </w:pPr>
            <w:r>
              <w:rPr>
                <w:rFonts w:ascii="Times" w:hAnsi="Times"/>
                <w:sz w:val="24"/>
                <w:szCs w:val="24"/>
              </w:rPr>
              <w:t>Public Transit Use</w:t>
            </w:r>
          </w:p>
        </w:tc>
        <w:tc>
          <w:tcPr>
            <w:tcW w:w="1392" w:type="pct"/>
            <w:tcBorders>
              <w:top w:val="single" w:sz="4" w:space="0" w:color="auto"/>
            </w:tcBorders>
            <w:vAlign w:val="center"/>
          </w:tcPr>
          <w:p w14:paraId="1234627C" w14:textId="7CCACA3E" w:rsidR="00C86DC4" w:rsidRDefault="00F27AF4" w:rsidP="004044CC">
            <w:pPr>
              <w:rPr>
                <w:rFonts w:ascii="Times" w:hAnsi="Times"/>
                <w:sz w:val="24"/>
                <w:szCs w:val="24"/>
              </w:rPr>
            </w:pPr>
            <w:r>
              <w:rPr>
                <w:rFonts w:ascii="Times" w:hAnsi="Times"/>
                <w:sz w:val="24"/>
                <w:szCs w:val="24"/>
              </w:rPr>
              <w:t>1.002</w:t>
            </w:r>
          </w:p>
        </w:tc>
        <w:tc>
          <w:tcPr>
            <w:tcW w:w="1204" w:type="pct"/>
            <w:tcBorders>
              <w:top w:val="single" w:sz="4" w:space="0" w:color="auto"/>
            </w:tcBorders>
            <w:vAlign w:val="center"/>
          </w:tcPr>
          <w:p w14:paraId="7EB2EF68" w14:textId="4929C42D" w:rsidR="00C86DC4" w:rsidRPr="00E75803" w:rsidRDefault="00C86DC4" w:rsidP="004044CC">
            <w:pPr>
              <w:rPr>
                <w:rFonts w:ascii="Times" w:hAnsi="Times"/>
                <w:sz w:val="24"/>
                <w:szCs w:val="24"/>
              </w:rPr>
            </w:pPr>
            <w:r>
              <w:rPr>
                <w:rFonts w:ascii="Times" w:hAnsi="Times"/>
                <w:sz w:val="24"/>
                <w:szCs w:val="24"/>
              </w:rPr>
              <w:t>[0.8</w:t>
            </w:r>
            <w:r w:rsidR="00F27AF4">
              <w:rPr>
                <w:rFonts w:ascii="Times" w:hAnsi="Times"/>
                <w:sz w:val="24"/>
                <w:szCs w:val="24"/>
              </w:rPr>
              <w:t>99</w:t>
            </w:r>
            <w:r>
              <w:rPr>
                <w:rFonts w:ascii="Times" w:hAnsi="Times"/>
                <w:sz w:val="24"/>
                <w:szCs w:val="24"/>
              </w:rPr>
              <w:t>-1.</w:t>
            </w:r>
            <w:r w:rsidR="00F27AF4">
              <w:rPr>
                <w:rFonts w:ascii="Times" w:hAnsi="Times"/>
                <w:sz w:val="24"/>
                <w:szCs w:val="24"/>
              </w:rPr>
              <w:t>117</w:t>
            </w:r>
            <w:r>
              <w:rPr>
                <w:rFonts w:ascii="Times" w:hAnsi="Times"/>
                <w:sz w:val="24"/>
                <w:szCs w:val="24"/>
              </w:rPr>
              <w:t>]</w:t>
            </w:r>
          </w:p>
        </w:tc>
      </w:tr>
      <w:tr w:rsidR="00FD0D42" w:rsidRPr="00E75803" w14:paraId="2FB3A760" w14:textId="77777777" w:rsidTr="00FD0D42">
        <w:trPr>
          <w:trHeight w:val="313"/>
        </w:trPr>
        <w:tc>
          <w:tcPr>
            <w:tcW w:w="2404" w:type="pct"/>
          </w:tcPr>
          <w:p w14:paraId="18CE7B6E" w14:textId="77777777" w:rsidR="00C86DC4" w:rsidRPr="00E75803" w:rsidRDefault="00C86DC4" w:rsidP="004044CC">
            <w:pPr>
              <w:rPr>
                <w:rFonts w:ascii="Times" w:hAnsi="Times"/>
                <w:sz w:val="24"/>
                <w:szCs w:val="24"/>
              </w:rPr>
            </w:pPr>
            <w:r>
              <w:rPr>
                <w:rFonts w:ascii="Times" w:hAnsi="Times"/>
                <w:sz w:val="24"/>
                <w:szCs w:val="24"/>
              </w:rPr>
              <w:t>Population Density</w:t>
            </w:r>
          </w:p>
        </w:tc>
        <w:tc>
          <w:tcPr>
            <w:tcW w:w="1392" w:type="pct"/>
            <w:vAlign w:val="center"/>
          </w:tcPr>
          <w:p w14:paraId="4461FAD6" w14:textId="0F6A2C23" w:rsidR="00C86DC4" w:rsidRPr="00E75803" w:rsidRDefault="00C86DC4" w:rsidP="004044CC">
            <w:pPr>
              <w:rPr>
                <w:rFonts w:ascii="Times" w:hAnsi="Times"/>
                <w:sz w:val="24"/>
                <w:szCs w:val="24"/>
              </w:rPr>
            </w:pPr>
            <w:r>
              <w:rPr>
                <w:rFonts w:ascii="Times" w:hAnsi="Times"/>
                <w:sz w:val="24"/>
                <w:szCs w:val="24"/>
              </w:rPr>
              <w:t xml:space="preserve">1.000 </w:t>
            </w:r>
          </w:p>
        </w:tc>
        <w:tc>
          <w:tcPr>
            <w:tcW w:w="1204" w:type="pct"/>
            <w:vAlign w:val="center"/>
          </w:tcPr>
          <w:p w14:paraId="7DE0AF57" w14:textId="77777777" w:rsidR="00C86DC4" w:rsidRPr="00E75803" w:rsidRDefault="00C86DC4" w:rsidP="004044CC">
            <w:pPr>
              <w:rPr>
                <w:rFonts w:ascii="Times" w:hAnsi="Times"/>
                <w:sz w:val="24"/>
                <w:szCs w:val="24"/>
              </w:rPr>
            </w:pPr>
            <w:r w:rsidRPr="00E75803">
              <w:rPr>
                <w:rFonts w:ascii="Times" w:hAnsi="Times"/>
                <w:sz w:val="24"/>
                <w:szCs w:val="24"/>
              </w:rPr>
              <w:t>[</w:t>
            </w:r>
            <w:r>
              <w:rPr>
                <w:rFonts w:ascii="Times" w:hAnsi="Times"/>
                <w:sz w:val="24"/>
                <w:szCs w:val="24"/>
              </w:rPr>
              <w:t>1.000-1.000</w:t>
            </w:r>
            <w:r w:rsidRPr="00E75803">
              <w:rPr>
                <w:rFonts w:ascii="Times" w:hAnsi="Times"/>
                <w:sz w:val="24"/>
                <w:szCs w:val="24"/>
              </w:rPr>
              <w:t>]</w:t>
            </w:r>
          </w:p>
        </w:tc>
      </w:tr>
      <w:tr w:rsidR="00863A2F" w:rsidRPr="00E75803" w14:paraId="45E2B819" w14:textId="77777777" w:rsidTr="00FD0D42">
        <w:trPr>
          <w:trHeight w:val="326"/>
        </w:trPr>
        <w:tc>
          <w:tcPr>
            <w:tcW w:w="2404" w:type="pct"/>
          </w:tcPr>
          <w:p w14:paraId="35B9F52C" w14:textId="7828C170" w:rsidR="00863A2F" w:rsidRDefault="00863A2F" w:rsidP="004044CC">
            <w:pPr>
              <w:rPr>
                <w:rFonts w:ascii="Times" w:hAnsi="Times"/>
                <w:sz w:val="24"/>
                <w:szCs w:val="24"/>
              </w:rPr>
            </w:pPr>
            <w:r>
              <w:rPr>
                <w:rFonts w:ascii="Times" w:hAnsi="Times"/>
                <w:sz w:val="24"/>
                <w:szCs w:val="24"/>
              </w:rPr>
              <w:t>Population Size</w:t>
            </w:r>
          </w:p>
        </w:tc>
        <w:tc>
          <w:tcPr>
            <w:tcW w:w="1392" w:type="pct"/>
            <w:vAlign w:val="center"/>
          </w:tcPr>
          <w:p w14:paraId="39FF64BD" w14:textId="6B006392" w:rsidR="00863A2F" w:rsidRDefault="00F27AF4" w:rsidP="004044CC">
            <w:pPr>
              <w:rPr>
                <w:rFonts w:ascii="Times" w:hAnsi="Times"/>
                <w:sz w:val="24"/>
                <w:szCs w:val="24"/>
              </w:rPr>
            </w:pPr>
            <w:r>
              <w:rPr>
                <w:rFonts w:ascii="Times" w:hAnsi="Times"/>
                <w:sz w:val="24"/>
                <w:szCs w:val="24"/>
              </w:rPr>
              <w:t>1.000</w:t>
            </w:r>
          </w:p>
        </w:tc>
        <w:tc>
          <w:tcPr>
            <w:tcW w:w="1204" w:type="pct"/>
            <w:vAlign w:val="center"/>
          </w:tcPr>
          <w:p w14:paraId="15C872A4" w14:textId="58F31B3F" w:rsidR="00863A2F" w:rsidRPr="00E75803" w:rsidRDefault="00F27AF4" w:rsidP="004044CC">
            <w:pPr>
              <w:rPr>
                <w:rFonts w:ascii="Times" w:hAnsi="Times"/>
                <w:sz w:val="24"/>
                <w:szCs w:val="24"/>
              </w:rPr>
            </w:pPr>
            <w:r>
              <w:rPr>
                <w:rFonts w:ascii="Times" w:hAnsi="Times"/>
                <w:sz w:val="24"/>
                <w:szCs w:val="24"/>
              </w:rPr>
              <w:t>[1.000-1.000]</w:t>
            </w:r>
          </w:p>
        </w:tc>
      </w:tr>
      <w:tr w:rsidR="00FD0D42" w:rsidRPr="00E75803" w14:paraId="66053BB8" w14:textId="77777777" w:rsidTr="00FD0D42">
        <w:trPr>
          <w:trHeight w:val="326"/>
        </w:trPr>
        <w:tc>
          <w:tcPr>
            <w:tcW w:w="2404" w:type="pct"/>
          </w:tcPr>
          <w:p w14:paraId="1A28D0A4" w14:textId="77777777" w:rsidR="00C86DC4" w:rsidRPr="00E75803" w:rsidRDefault="00C86DC4" w:rsidP="004044CC">
            <w:pPr>
              <w:rPr>
                <w:rFonts w:ascii="Times" w:hAnsi="Times"/>
                <w:sz w:val="24"/>
                <w:szCs w:val="24"/>
              </w:rPr>
            </w:pPr>
            <w:r>
              <w:rPr>
                <w:rFonts w:ascii="Times" w:hAnsi="Times"/>
                <w:sz w:val="24"/>
                <w:szCs w:val="24"/>
              </w:rPr>
              <w:t>Age</w:t>
            </w:r>
          </w:p>
        </w:tc>
        <w:tc>
          <w:tcPr>
            <w:tcW w:w="1392" w:type="pct"/>
            <w:vAlign w:val="center"/>
          </w:tcPr>
          <w:p w14:paraId="2AD8D0FC" w14:textId="26FBEFD8" w:rsidR="00C86DC4" w:rsidRPr="00E75803" w:rsidRDefault="00C86DC4" w:rsidP="004044CC">
            <w:pPr>
              <w:rPr>
                <w:rFonts w:ascii="Times" w:hAnsi="Times"/>
                <w:sz w:val="24"/>
                <w:szCs w:val="24"/>
              </w:rPr>
            </w:pPr>
            <w:r>
              <w:rPr>
                <w:rFonts w:ascii="Times" w:hAnsi="Times"/>
                <w:sz w:val="24"/>
                <w:szCs w:val="24"/>
              </w:rPr>
              <w:t>0.</w:t>
            </w:r>
            <w:r w:rsidR="00F27AF4">
              <w:rPr>
                <w:rFonts w:ascii="Times" w:hAnsi="Times"/>
                <w:sz w:val="24"/>
                <w:szCs w:val="24"/>
              </w:rPr>
              <w:t>890 *</w:t>
            </w:r>
          </w:p>
        </w:tc>
        <w:tc>
          <w:tcPr>
            <w:tcW w:w="1204" w:type="pct"/>
            <w:vAlign w:val="center"/>
          </w:tcPr>
          <w:p w14:paraId="5AD6303B" w14:textId="0587A123" w:rsidR="00C86DC4" w:rsidRPr="00E75803" w:rsidRDefault="00C86DC4" w:rsidP="004044CC">
            <w:pPr>
              <w:rPr>
                <w:rFonts w:ascii="Times" w:hAnsi="Times"/>
                <w:sz w:val="24"/>
                <w:szCs w:val="24"/>
              </w:rPr>
            </w:pPr>
            <w:r w:rsidRPr="00E75803">
              <w:rPr>
                <w:rFonts w:ascii="Times" w:hAnsi="Times"/>
                <w:sz w:val="24"/>
                <w:szCs w:val="24"/>
              </w:rPr>
              <w:t>[</w:t>
            </w:r>
            <w:r>
              <w:rPr>
                <w:rFonts w:ascii="Times" w:hAnsi="Times"/>
                <w:sz w:val="24"/>
                <w:szCs w:val="24"/>
              </w:rPr>
              <w:t>0.8</w:t>
            </w:r>
            <w:r w:rsidR="00F27AF4">
              <w:rPr>
                <w:rFonts w:ascii="Times" w:hAnsi="Times"/>
                <w:sz w:val="24"/>
                <w:szCs w:val="24"/>
              </w:rPr>
              <w:t>12</w:t>
            </w:r>
            <w:r>
              <w:rPr>
                <w:rFonts w:ascii="Times" w:hAnsi="Times"/>
                <w:sz w:val="24"/>
                <w:szCs w:val="24"/>
              </w:rPr>
              <w:t>-</w:t>
            </w:r>
            <w:r w:rsidR="00F27AF4">
              <w:rPr>
                <w:rFonts w:ascii="Times" w:hAnsi="Times"/>
                <w:sz w:val="24"/>
                <w:szCs w:val="24"/>
              </w:rPr>
              <w:t>0.975</w:t>
            </w:r>
            <w:r w:rsidRPr="00E75803">
              <w:rPr>
                <w:rFonts w:ascii="Times" w:hAnsi="Times"/>
                <w:sz w:val="24"/>
                <w:szCs w:val="24"/>
              </w:rPr>
              <w:t>]</w:t>
            </w:r>
          </w:p>
        </w:tc>
      </w:tr>
      <w:tr w:rsidR="00C86DC4" w:rsidRPr="00E75803" w14:paraId="7A765BEA" w14:textId="77777777" w:rsidTr="00FD0D42">
        <w:trPr>
          <w:trHeight w:val="326"/>
        </w:trPr>
        <w:tc>
          <w:tcPr>
            <w:tcW w:w="2404" w:type="pct"/>
          </w:tcPr>
          <w:p w14:paraId="71D0FE72" w14:textId="77777777" w:rsidR="00C86DC4" w:rsidRDefault="00C86DC4" w:rsidP="004044CC">
            <w:pPr>
              <w:rPr>
                <w:rFonts w:ascii="Times" w:hAnsi="Times"/>
                <w:sz w:val="24"/>
                <w:szCs w:val="24"/>
              </w:rPr>
            </w:pPr>
            <w:r>
              <w:rPr>
                <w:rFonts w:ascii="Times" w:hAnsi="Times"/>
                <w:sz w:val="24"/>
                <w:szCs w:val="24"/>
              </w:rPr>
              <w:t>Male</w:t>
            </w:r>
          </w:p>
        </w:tc>
        <w:tc>
          <w:tcPr>
            <w:tcW w:w="1392" w:type="pct"/>
            <w:vAlign w:val="center"/>
          </w:tcPr>
          <w:p w14:paraId="79BE5E3C" w14:textId="1EA27257" w:rsidR="00C86DC4" w:rsidRDefault="00F27AF4" w:rsidP="004044CC">
            <w:pPr>
              <w:rPr>
                <w:rFonts w:ascii="Times" w:hAnsi="Times"/>
                <w:sz w:val="24"/>
                <w:szCs w:val="24"/>
              </w:rPr>
            </w:pPr>
            <w:r>
              <w:rPr>
                <w:rFonts w:ascii="Times" w:hAnsi="Times"/>
                <w:sz w:val="24"/>
                <w:szCs w:val="24"/>
              </w:rPr>
              <w:t>0.947</w:t>
            </w:r>
          </w:p>
        </w:tc>
        <w:tc>
          <w:tcPr>
            <w:tcW w:w="1204" w:type="pct"/>
            <w:vAlign w:val="center"/>
          </w:tcPr>
          <w:p w14:paraId="173229B2" w14:textId="482F6FBA" w:rsidR="00C86DC4" w:rsidRPr="00E75803" w:rsidRDefault="00C86DC4" w:rsidP="004044CC">
            <w:pPr>
              <w:rPr>
                <w:rFonts w:ascii="Times" w:hAnsi="Times"/>
                <w:sz w:val="24"/>
                <w:szCs w:val="24"/>
              </w:rPr>
            </w:pPr>
            <w:r>
              <w:rPr>
                <w:rFonts w:ascii="Times" w:hAnsi="Times"/>
                <w:sz w:val="24"/>
                <w:szCs w:val="24"/>
              </w:rPr>
              <w:t>[0.</w:t>
            </w:r>
            <w:r w:rsidR="00F27AF4">
              <w:rPr>
                <w:rFonts w:ascii="Times" w:hAnsi="Times"/>
                <w:sz w:val="24"/>
                <w:szCs w:val="24"/>
              </w:rPr>
              <w:t>602</w:t>
            </w:r>
            <w:r>
              <w:rPr>
                <w:rFonts w:ascii="Times" w:hAnsi="Times"/>
                <w:sz w:val="24"/>
                <w:szCs w:val="24"/>
              </w:rPr>
              <w:t>-</w:t>
            </w:r>
            <w:r w:rsidR="00F27AF4">
              <w:rPr>
                <w:rFonts w:ascii="Times" w:hAnsi="Times"/>
                <w:sz w:val="24"/>
                <w:szCs w:val="24"/>
              </w:rPr>
              <w:t>1.492</w:t>
            </w:r>
            <w:r>
              <w:rPr>
                <w:rFonts w:ascii="Times" w:hAnsi="Times"/>
                <w:sz w:val="24"/>
                <w:szCs w:val="24"/>
              </w:rPr>
              <w:t>]</w:t>
            </w:r>
          </w:p>
        </w:tc>
      </w:tr>
      <w:tr w:rsidR="00FD0D42" w:rsidRPr="00E75803" w14:paraId="02C0D10C" w14:textId="77777777" w:rsidTr="00FD0D42">
        <w:trPr>
          <w:trHeight w:val="326"/>
        </w:trPr>
        <w:tc>
          <w:tcPr>
            <w:tcW w:w="2404" w:type="pct"/>
          </w:tcPr>
          <w:p w14:paraId="29B12070" w14:textId="77777777" w:rsidR="00C86DC4" w:rsidRPr="00E75803" w:rsidRDefault="00C86DC4" w:rsidP="004044CC">
            <w:pPr>
              <w:rPr>
                <w:rFonts w:ascii="Times" w:hAnsi="Times"/>
                <w:sz w:val="24"/>
                <w:szCs w:val="24"/>
              </w:rPr>
            </w:pPr>
            <w:r>
              <w:rPr>
                <w:rFonts w:ascii="Times" w:hAnsi="Times"/>
                <w:sz w:val="24"/>
                <w:szCs w:val="24"/>
              </w:rPr>
              <w:t>Non-Hispanic white</w:t>
            </w:r>
          </w:p>
        </w:tc>
        <w:tc>
          <w:tcPr>
            <w:tcW w:w="1392" w:type="pct"/>
            <w:vAlign w:val="center"/>
          </w:tcPr>
          <w:p w14:paraId="0B36290E" w14:textId="7F30D7A7" w:rsidR="00C86DC4" w:rsidRPr="00E75803" w:rsidRDefault="00C86DC4" w:rsidP="004044CC">
            <w:pPr>
              <w:rPr>
                <w:rFonts w:ascii="Times" w:hAnsi="Times"/>
                <w:sz w:val="24"/>
                <w:szCs w:val="24"/>
              </w:rPr>
            </w:pPr>
            <w:r>
              <w:rPr>
                <w:rFonts w:ascii="Times" w:hAnsi="Times"/>
                <w:sz w:val="24"/>
                <w:szCs w:val="24"/>
              </w:rPr>
              <w:t>0.9</w:t>
            </w:r>
            <w:r w:rsidR="00F27AF4">
              <w:rPr>
                <w:rFonts w:ascii="Times" w:hAnsi="Times"/>
                <w:sz w:val="24"/>
                <w:szCs w:val="24"/>
              </w:rPr>
              <w:t>89</w:t>
            </w:r>
            <w:r>
              <w:rPr>
                <w:rFonts w:ascii="Times" w:hAnsi="Times"/>
                <w:sz w:val="24"/>
                <w:szCs w:val="24"/>
              </w:rPr>
              <w:t xml:space="preserve"> </w:t>
            </w:r>
          </w:p>
        </w:tc>
        <w:tc>
          <w:tcPr>
            <w:tcW w:w="1204" w:type="pct"/>
            <w:vAlign w:val="center"/>
          </w:tcPr>
          <w:p w14:paraId="37D1B2B0" w14:textId="1E853BEF" w:rsidR="00C86DC4" w:rsidRPr="00E75803" w:rsidRDefault="00C86DC4" w:rsidP="004044CC">
            <w:pPr>
              <w:rPr>
                <w:rFonts w:ascii="Times" w:hAnsi="Times"/>
                <w:sz w:val="24"/>
                <w:szCs w:val="24"/>
              </w:rPr>
            </w:pPr>
            <w:r w:rsidRPr="00E75803">
              <w:rPr>
                <w:rFonts w:ascii="Times" w:hAnsi="Times"/>
                <w:sz w:val="24"/>
                <w:szCs w:val="24"/>
              </w:rPr>
              <w:t>[</w:t>
            </w:r>
            <w:r>
              <w:rPr>
                <w:rFonts w:ascii="Times" w:hAnsi="Times"/>
                <w:sz w:val="24"/>
                <w:szCs w:val="24"/>
              </w:rPr>
              <w:t>0.9</w:t>
            </w:r>
            <w:r w:rsidR="00F27AF4">
              <w:rPr>
                <w:rFonts w:ascii="Times" w:hAnsi="Times"/>
                <w:sz w:val="24"/>
                <w:szCs w:val="24"/>
              </w:rPr>
              <w:t>69</w:t>
            </w:r>
            <w:r>
              <w:rPr>
                <w:rFonts w:ascii="Times" w:hAnsi="Times"/>
                <w:sz w:val="24"/>
                <w:szCs w:val="24"/>
              </w:rPr>
              <w:t>-1.00</w:t>
            </w:r>
            <w:r w:rsidR="00F27AF4">
              <w:rPr>
                <w:rFonts w:ascii="Times" w:hAnsi="Times"/>
                <w:sz w:val="24"/>
                <w:szCs w:val="24"/>
              </w:rPr>
              <w:t>9</w:t>
            </w:r>
            <w:r w:rsidRPr="00E75803">
              <w:rPr>
                <w:rFonts w:ascii="Times" w:hAnsi="Times"/>
                <w:sz w:val="24"/>
                <w:szCs w:val="24"/>
              </w:rPr>
              <w:t>]</w:t>
            </w:r>
          </w:p>
        </w:tc>
      </w:tr>
      <w:tr w:rsidR="00FD0D42" w:rsidRPr="00E75803" w14:paraId="3AA87F24" w14:textId="77777777" w:rsidTr="00FD0D42">
        <w:trPr>
          <w:trHeight w:val="326"/>
        </w:trPr>
        <w:tc>
          <w:tcPr>
            <w:tcW w:w="2404" w:type="pct"/>
          </w:tcPr>
          <w:p w14:paraId="740A9E0E" w14:textId="77777777" w:rsidR="00C86DC4" w:rsidRPr="00E75803" w:rsidRDefault="00C86DC4" w:rsidP="004044CC">
            <w:pPr>
              <w:rPr>
                <w:rFonts w:ascii="Times" w:hAnsi="Times"/>
                <w:sz w:val="24"/>
                <w:szCs w:val="24"/>
              </w:rPr>
            </w:pPr>
            <w:r>
              <w:rPr>
                <w:rFonts w:ascii="Times" w:hAnsi="Times"/>
                <w:sz w:val="24"/>
                <w:szCs w:val="24"/>
              </w:rPr>
              <w:t>Hispanic</w:t>
            </w:r>
          </w:p>
        </w:tc>
        <w:tc>
          <w:tcPr>
            <w:tcW w:w="1392" w:type="pct"/>
            <w:vAlign w:val="center"/>
          </w:tcPr>
          <w:p w14:paraId="565E7E50" w14:textId="71218353" w:rsidR="00C86DC4" w:rsidRPr="00E75803" w:rsidRDefault="00C86DC4" w:rsidP="004044CC">
            <w:pPr>
              <w:rPr>
                <w:rFonts w:ascii="Times" w:hAnsi="Times"/>
                <w:sz w:val="24"/>
                <w:szCs w:val="24"/>
              </w:rPr>
            </w:pPr>
            <w:r>
              <w:rPr>
                <w:rFonts w:ascii="Times" w:hAnsi="Times"/>
                <w:sz w:val="24"/>
                <w:szCs w:val="24"/>
              </w:rPr>
              <w:t>0.94</w:t>
            </w:r>
            <w:r w:rsidR="00F27AF4">
              <w:rPr>
                <w:rFonts w:ascii="Times" w:hAnsi="Times"/>
                <w:sz w:val="24"/>
                <w:szCs w:val="24"/>
              </w:rPr>
              <w:t>9</w:t>
            </w:r>
            <w:r>
              <w:rPr>
                <w:rFonts w:ascii="Times" w:hAnsi="Times"/>
                <w:sz w:val="24"/>
                <w:szCs w:val="24"/>
              </w:rPr>
              <w:t xml:space="preserve"> *</w:t>
            </w:r>
          </w:p>
        </w:tc>
        <w:tc>
          <w:tcPr>
            <w:tcW w:w="1204" w:type="pct"/>
            <w:vAlign w:val="center"/>
          </w:tcPr>
          <w:p w14:paraId="0220AD64" w14:textId="14D97519" w:rsidR="00C86DC4" w:rsidRPr="00E75803" w:rsidRDefault="00C86DC4" w:rsidP="004044CC">
            <w:pPr>
              <w:rPr>
                <w:rFonts w:ascii="Times" w:hAnsi="Times"/>
                <w:sz w:val="24"/>
                <w:szCs w:val="24"/>
              </w:rPr>
            </w:pPr>
            <w:r w:rsidRPr="00E75803">
              <w:rPr>
                <w:rFonts w:ascii="Times" w:hAnsi="Times"/>
                <w:sz w:val="24"/>
                <w:szCs w:val="24"/>
              </w:rPr>
              <w:t>[</w:t>
            </w:r>
            <w:r>
              <w:rPr>
                <w:rFonts w:ascii="Times" w:hAnsi="Times"/>
                <w:sz w:val="24"/>
                <w:szCs w:val="24"/>
              </w:rPr>
              <w:t>0.90</w:t>
            </w:r>
            <w:r w:rsidR="00F27AF4">
              <w:rPr>
                <w:rFonts w:ascii="Times" w:hAnsi="Times"/>
                <w:sz w:val="24"/>
                <w:szCs w:val="24"/>
              </w:rPr>
              <w:t>7</w:t>
            </w:r>
            <w:r>
              <w:rPr>
                <w:rFonts w:ascii="Times" w:hAnsi="Times"/>
                <w:sz w:val="24"/>
                <w:szCs w:val="24"/>
              </w:rPr>
              <w:t>-0.9</w:t>
            </w:r>
            <w:r w:rsidR="00F27AF4">
              <w:rPr>
                <w:rFonts w:ascii="Times" w:hAnsi="Times"/>
                <w:sz w:val="24"/>
                <w:szCs w:val="24"/>
              </w:rPr>
              <w:t>92</w:t>
            </w:r>
            <w:r w:rsidRPr="00E75803">
              <w:rPr>
                <w:rFonts w:ascii="Times" w:hAnsi="Times"/>
                <w:sz w:val="24"/>
                <w:szCs w:val="24"/>
              </w:rPr>
              <w:t>]</w:t>
            </w:r>
          </w:p>
        </w:tc>
      </w:tr>
      <w:tr w:rsidR="00FD0D42" w:rsidRPr="00E75803" w14:paraId="0B1E3696" w14:textId="77777777" w:rsidTr="00FD0D42">
        <w:trPr>
          <w:trHeight w:val="326"/>
        </w:trPr>
        <w:tc>
          <w:tcPr>
            <w:tcW w:w="2404" w:type="pct"/>
          </w:tcPr>
          <w:p w14:paraId="6D224931" w14:textId="77777777" w:rsidR="00C86DC4" w:rsidRPr="00E75803" w:rsidRDefault="00C86DC4" w:rsidP="004044CC">
            <w:pPr>
              <w:rPr>
                <w:rFonts w:ascii="Times" w:hAnsi="Times"/>
                <w:sz w:val="24"/>
                <w:szCs w:val="24"/>
              </w:rPr>
            </w:pPr>
            <w:r>
              <w:rPr>
                <w:rFonts w:ascii="Times" w:hAnsi="Times"/>
                <w:sz w:val="24"/>
                <w:szCs w:val="24"/>
              </w:rPr>
              <w:t>Household Income</w:t>
            </w:r>
          </w:p>
        </w:tc>
        <w:tc>
          <w:tcPr>
            <w:tcW w:w="1392" w:type="pct"/>
            <w:vAlign w:val="center"/>
          </w:tcPr>
          <w:p w14:paraId="575EC7B9" w14:textId="6029799F" w:rsidR="00C86DC4" w:rsidRPr="00E75803" w:rsidRDefault="00C86DC4" w:rsidP="004044CC">
            <w:pPr>
              <w:rPr>
                <w:rFonts w:ascii="Times" w:hAnsi="Times"/>
                <w:sz w:val="24"/>
                <w:szCs w:val="24"/>
              </w:rPr>
            </w:pPr>
            <w:r>
              <w:rPr>
                <w:rFonts w:ascii="Times" w:hAnsi="Times"/>
                <w:sz w:val="24"/>
                <w:szCs w:val="24"/>
              </w:rPr>
              <w:t xml:space="preserve">1.000 </w:t>
            </w:r>
          </w:p>
        </w:tc>
        <w:tc>
          <w:tcPr>
            <w:tcW w:w="1204" w:type="pct"/>
            <w:vAlign w:val="center"/>
          </w:tcPr>
          <w:p w14:paraId="6A20E5D6" w14:textId="773A3269" w:rsidR="00C86DC4" w:rsidRPr="00E75803" w:rsidRDefault="00C86DC4" w:rsidP="004044CC">
            <w:pPr>
              <w:rPr>
                <w:rFonts w:ascii="Times" w:hAnsi="Times"/>
                <w:sz w:val="24"/>
                <w:szCs w:val="24"/>
              </w:rPr>
            </w:pPr>
            <w:r w:rsidRPr="00E75803">
              <w:rPr>
                <w:rFonts w:ascii="Times" w:hAnsi="Times"/>
                <w:sz w:val="24"/>
                <w:szCs w:val="24"/>
              </w:rPr>
              <w:t>[</w:t>
            </w:r>
            <w:r w:rsidR="00F27AF4">
              <w:rPr>
                <w:rFonts w:ascii="Times" w:hAnsi="Times"/>
                <w:sz w:val="24"/>
                <w:szCs w:val="24"/>
              </w:rPr>
              <w:t>1.000</w:t>
            </w:r>
            <w:r>
              <w:rPr>
                <w:rFonts w:ascii="Times" w:hAnsi="Times"/>
                <w:sz w:val="24"/>
                <w:szCs w:val="24"/>
              </w:rPr>
              <w:t>-1.000</w:t>
            </w:r>
            <w:r w:rsidRPr="00E75803">
              <w:rPr>
                <w:rFonts w:ascii="Times" w:hAnsi="Times"/>
                <w:sz w:val="24"/>
                <w:szCs w:val="24"/>
              </w:rPr>
              <w:t>]</w:t>
            </w:r>
          </w:p>
        </w:tc>
      </w:tr>
      <w:tr w:rsidR="00FD0D42" w:rsidRPr="00E75803" w14:paraId="228D8463" w14:textId="77777777" w:rsidTr="00FD0D42">
        <w:trPr>
          <w:trHeight w:val="326"/>
        </w:trPr>
        <w:tc>
          <w:tcPr>
            <w:tcW w:w="2404" w:type="pct"/>
            <w:tcBorders>
              <w:bottom w:val="single" w:sz="4" w:space="0" w:color="auto"/>
            </w:tcBorders>
          </w:tcPr>
          <w:p w14:paraId="2120C4ED" w14:textId="77777777" w:rsidR="00C86DC4" w:rsidRPr="00E75803" w:rsidRDefault="00C86DC4" w:rsidP="004044CC">
            <w:pPr>
              <w:rPr>
                <w:rFonts w:ascii="Times" w:hAnsi="Times"/>
                <w:sz w:val="24"/>
                <w:szCs w:val="24"/>
              </w:rPr>
            </w:pPr>
            <w:r>
              <w:rPr>
                <w:rFonts w:ascii="Times" w:hAnsi="Times"/>
                <w:sz w:val="24"/>
                <w:szCs w:val="24"/>
              </w:rPr>
              <w:t>Republican Governor</w:t>
            </w:r>
          </w:p>
        </w:tc>
        <w:tc>
          <w:tcPr>
            <w:tcW w:w="1392" w:type="pct"/>
            <w:tcBorders>
              <w:bottom w:val="single" w:sz="4" w:space="0" w:color="auto"/>
            </w:tcBorders>
            <w:vAlign w:val="center"/>
          </w:tcPr>
          <w:p w14:paraId="012F86ED" w14:textId="7EC29A1F" w:rsidR="00C86DC4" w:rsidRPr="00E75803" w:rsidRDefault="00C86DC4" w:rsidP="004044CC">
            <w:pPr>
              <w:rPr>
                <w:rFonts w:ascii="Times" w:hAnsi="Times"/>
                <w:sz w:val="24"/>
                <w:szCs w:val="24"/>
              </w:rPr>
            </w:pPr>
            <w:r>
              <w:rPr>
                <w:rFonts w:ascii="Times" w:hAnsi="Times"/>
                <w:sz w:val="24"/>
                <w:szCs w:val="24"/>
              </w:rPr>
              <w:t>0.</w:t>
            </w:r>
            <w:r w:rsidR="00F27AF4">
              <w:rPr>
                <w:rFonts w:ascii="Times" w:hAnsi="Times"/>
                <w:sz w:val="24"/>
                <w:szCs w:val="24"/>
              </w:rPr>
              <w:t>418 *</w:t>
            </w:r>
          </w:p>
        </w:tc>
        <w:tc>
          <w:tcPr>
            <w:tcW w:w="1204" w:type="pct"/>
            <w:tcBorders>
              <w:bottom w:val="single" w:sz="4" w:space="0" w:color="auto"/>
            </w:tcBorders>
            <w:vAlign w:val="center"/>
          </w:tcPr>
          <w:p w14:paraId="1757E8E0" w14:textId="1BE5A8B9" w:rsidR="00C86DC4" w:rsidRPr="00E75803" w:rsidRDefault="00C86DC4" w:rsidP="004044CC">
            <w:pPr>
              <w:rPr>
                <w:rFonts w:ascii="Times" w:hAnsi="Times"/>
                <w:sz w:val="24"/>
                <w:szCs w:val="24"/>
              </w:rPr>
            </w:pPr>
            <w:r>
              <w:rPr>
                <w:rFonts w:ascii="Times" w:hAnsi="Times"/>
                <w:sz w:val="24"/>
                <w:szCs w:val="24"/>
              </w:rPr>
              <w:t>[0.</w:t>
            </w:r>
            <w:r w:rsidR="00F27AF4">
              <w:rPr>
                <w:rFonts w:ascii="Times" w:hAnsi="Times"/>
                <w:sz w:val="24"/>
                <w:szCs w:val="24"/>
              </w:rPr>
              <w:t>209</w:t>
            </w:r>
            <w:r>
              <w:rPr>
                <w:rFonts w:ascii="Times" w:hAnsi="Times"/>
                <w:sz w:val="24"/>
                <w:szCs w:val="24"/>
              </w:rPr>
              <w:t>-</w:t>
            </w:r>
            <w:r w:rsidR="00F27AF4">
              <w:rPr>
                <w:rFonts w:ascii="Times" w:hAnsi="Times"/>
                <w:sz w:val="24"/>
                <w:szCs w:val="24"/>
              </w:rPr>
              <w:t>0.837</w:t>
            </w:r>
            <w:r>
              <w:rPr>
                <w:rFonts w:ascii="Times" w:hAnsi="Times"/>
                <w:sz w:val="24"/>
                <w:szCs w:val="24"/>
              </w:rPr>
              <w:t>]</w:t>
            </w:r>
          </w:p>
        </w:tc>
      </w:tr>
      <w:tr w:rsidR="00C86DC4" w:rsidRPr="00E75803" w14:paraId="253F948B" w14:textId="77777777" w:rsidTr="00FD0D42">
        <w:trPr>
          <w:trHeight w:val="326"/>
        </w:trPr>
        <w:tc>
          <w:tcPr>
            <w:tcW w:w="5000" w:type="pct"/>
            <w:gridSpan w:val="3"/>
            <w:tcBorders>
              <w:top w:val="single" w:sz="4" w:space="0" w:color="auto"/>
            </w:tcBorders>
          </w:tcPr>
          <w:p w14:paraId="2A1C92FC" w14:textId="77777777" w:rsidR="00C86DC4" w:rsidRPr="00E75803" w:rsidRDefault="00C86DC4" w:rsidP="004044CC">
            <w:pPr>
              <w:rPr>
                <w:rFonts w:ascii="Times" w:hAnsi="Times"/>
                <w:i/>
                <w:sz w:val="24"/>
                <w:szCs w:val="24"/>
              </w:rPr>
            </w:pPr>
            <w:r w:rsidRPr="00E75803">
              <w:rPr>
                <w:rFonts w:ascii="Times" w:hAnsi="Times"/>
                <w:i/>
                <w:sz w:val="24"/>
                <w:szCs w:val="24"/>
              </w:rPr>
              <w:t xml:space="preserve">Note: </w:t>
            </w:r>
            <w:r>
              <w:rPr>
                <w:rFonts w:ascii="Times" w:hAnsi="Times"/>
                <w:i/>
                <w:sz w:val="24"/>
                <w:szCs w:val="24"/>
              </w:rPr>
              <w:t>Punctuation indicates significance at the following levels:</w:t>
            </w:r>
            <w:r w:rsidRPr="003E6681">
              <w:rPr>
                <w:rFonts w:ascii="Times" w:hAnsi="Times"/>
                <w:i/>
                <w:sz w:val="24"/>
                <w:szCs w:val="24"/>
              </w:rPr>
              <w:t xml:space="preserve"> '**' </w:t>
            </w:r>
            <w:proofErr w:type="gramStart"/>
            <w:r w:rsidRPr="003E6681">
              <w:rPr>
                <w:rFonts w:ascii="Times" w:hAnsi="Times"/>
                <w:i/>
                <w:sz w:val="24"/>
                <w:szCs w:val="24"/>
              </w:rPr>
              <w:t xml:space="preserve">0.01 </w:t>
            </w:r>
            <w:r>
              <w:rPr>
                <w:rFonts w:ascii="Times" w:hAnsi="Times"/>
                <w:i/>
                <w:sz w:val="24"/>
                <w:szCs w:val="24"/>
              </w:rPr>
              <w:t>;</w:t>
            </w:r>
            <w:proofErr w:type="gramEnd"/>
            <w:r w:rsidRPr="003E6681">
              <w:rPr>
                <w:rFonts w:ascii="Times" w:hAnsi="Times"/>
                <w:i/>
                <w:sz w:val="24"/>
                <w:szCs w:val="24"/>
              </w:rPr>
              <w:t xml:space="preserve">'*' 0.05 </w:t>
            </w:r>
            <w:r>
              <w:rPr>
                <w:rFonts w:ascii="Times" w:hAnsi="Times"/>
                <w:i/>
                <w:sz w:val="24"/>
                <w:szCs w:val="24"/>
              </w:rPr>
              <w:t xml:space="preserve">; </w:t>
            </w:r>
            <w:r w:rsidRPr="003E6681">
              <w:rPr>
                <w:rFonts w:ascii="Times" w:hAnsi="Times"/>
                <w:i/>
                <w:sz w:val="24"/>
                <w:szCs w:val="24"/>
              </w:rPr>
              <w:t>'.' 0.1</w:t>
            </w:r>
          </w:p>
        </w:tc>
      </w:tr>
    </w:tbl>
    <w:p w14:paraId="6728FEC7" w14:textId="77777777" w:rsidR="009242F1" w:rsidRDefault="00EB56D6" w:rsidP="00EB56D6">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1840ED43" w14:textId="09F06A41" w:rsidR="00EB56D6" w:rsidRDefault="00EB56D6" w:rsidP="00924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negative binomial model of the impact of public transit use on incidence rate adjusted for population density, population size, age, sex, race, ethnicity, income, and political party of governor did not show a statistically significant relationship (p=0.97</w:t>
      </w:r>
      <w:r w:rsidR="004044CC">
        <w:rPr>
          <w:rFonts w:ascii="Times New Roman" w:hAnsi="Times New Roman" w:cs="Times New Roman"/>
          <w:sz w:val="24"/>
          <w:szCs w:val="24"/>
        </w:rPr>
        <w:t>5</w:t>
      </w:r>
      <w:r>
        <w:rPr>
          <w:rFonts w:ascii="Times New Roman" w:hAnsi="Times New Roman" w:cs="Times New Roman"/>
          <w:sz w:val="24"/>
          <w:szCs w:val="24"/>
        </w:rPr>
        <w:t>) (Table 3). A state with a 1 percentage point higher public transit use would have a</w:t>
      </w:r>
      <w:r w:rsidR="004044CC">
        <w:rPr>
          <w:rFonts w:ascii="Times New Roman" w:hAnsi="Times New Roman" w:cs="Times New Roman"/>
          <w:sz w:val="24"/>
          <w:szCs w:val="24"/>
        </w:rPr>
        <w:t xml:space="preserve"> 0.2</w:t>
      </w:r>
      <w:r>
        <w:rPr>
          <w:rFonts w:ascii="Times New Roman" w:hAnsi="Times New Roman" w:cs="Times New Roman"/>
          <w:sz w:val="24"/>
          <w:szCs w:val="24"/>
        </w:rPr>
        <w:t xml:space="preserve">% increase in the </w:t>
      </w:r>
      <w:r w:rsidR="004044CC">
        <w:rPr>
          <w:rFonts w:ascii="Times New Roman" w:hAnsi="Times New Roman" w:cs="Times New Roman"/>
          <w:sz w:val="24"/>
          <w:szCs w:val="24"/>
        </w:rPr>
        <w:t>incidenc</w:t>
      </w:r>
      <w:r>
        <w:rPr>
          <w:rFonts w:ascii="Times New Roman" w:hAnsi="Times New Roman" w:cs="Times New Roman"/>
          <w:sz w:val="24"/>
          <w:szCs w:val="24"/>
        </w:rPr>
        <w:t>e rate (</w:t>
      </w:r>
      <w:r w:rsidR="004044CC">
        <w:rPr>
          <w:rFonts w:ascii="Times New Roman" w:hAnsi="Times New Roman" w:cs="Times New Roman"/>
          <w:sz w:val="24"/>
          <w:szCs w:val="24"/>
        </w:rPr>
        <w:t>I</w:t>
      </w:r>
      <w:r>
        <w:rPr>
          <w:rFonts w:ascii="Times New Roman" w:hAnsi="Times New Roman" w:cs="Times New Roman"/>
          <w:sz w:val="24"/>
          <w:szCs w:val="24"/>
        </w:rPr>
        <w:t>RR=1.0</w:t>
      </w:r>
      <w:r w:rsidR="004044CC">
        <w:rPr>
          <w:rFonts w:ascii="Times New Roman" w:hAnsi="Times New Roman" w:cs="Times New Roman"/>
          <w:sz w:val="24"/>
          <w:szCs w:val="24"/>
        </w:rPr>
        <w:t>01</w:t>
      </w:r>
      <w:r>
        <w:rPr>
          <w:rFonts w:ascii="Times New Roman" w:hAnsi="Times New Roman" w:cs="Times New Roman"/>
          <w:sz w:val="24"/>
          <w:szCs w:val="24"/>
        </w:rPr>
        <w:t>; 95% CI: 0.</w:t>
      </w:r>
      <w:r w:rsidR="004044CC">
        <w:rPr>
          <w:rFonts w:ascii="Times New Roman" w:hAnsi="Times New Roman" w:cs="Times New Roman"/>
          <w:sz w:val="24"/>
          <w:szCs w:val="24"/>
        </w:rPr>
        <w:t>899</w:t>
      </w:r>
      <w:r>
        <w:rPr>
          <w:rFonts w:ascii="Times New Roman" w:hAnsi="Times New Roman" w:cs="Times New Roman"/>
          <w:sz w:val="24"/>
          <w:szCs w:val="24"/>
        </w:rPr>
        <w:t>-1.1</w:t>
      </w:r>
      <w:r w:rsidR="004044CC">
        <w:rPr>
          <w:rFonts w:ascii="Times New Roman" w:hAnsi="Times New Roman" w:cs="Times New Roman"/>
          <w:sz w:val="24"/>
          <w:szCs w:val="24"/>
        </w:rPr>
        <w:t>17</w:t>
      </w:r>
      <w:r>
        <w:rPr>
          <w:rFonts w:ascii="Times New Roman" w:hAnsi="Times New Roman" w:cs="Times New Roman"/>
          <w:sz w:val="24"/>
          <w:szCs w:val="24"/>
        </w:rPr>
        <w:t xml:space="preserve">). Given that the 95% confidence interval crosses 1 and the p-value is greater than 0.05, it is not certain that higher public transit use is associated with an increased </w:t>
      </w:r>
      <w:r w:rsidR="004044CC">
        <w:rPr>
          <w:rFonts w:ascii="Times New Roman" w:hAnsi="Times New Roman" w:cs="Times New Roman"/>
          <w:sz w:val="24"/>
          <w:szCs w:val="24"/>
        </w:rPr>
        <w:t>incidence</w:t>
      </w:r>
      <w:r>
        <w:rPr>
          <w:rFonts w:ascii="Times New Roman" w:hAnsi="Times New Roman" w:cs="Times New Roman"/>
          <w:sz w:val="24"/>
          <w:szCs w:val="24"/>
        </w:rPr>
        <w:t xml:space="preserve"> rate. In the model, only </w:t>
      </w:r>
      <w:r w:rsidR="004044CC">
        <w:rPr>
          <w:rFonts w:ascii="Times New Roman" w:hAnsi="Times New Roman" w:cs="Times New Roman"/>
          <w:sz w:val="24"/>
          <w:szCs w:val="24"/>
        </w:rPr>
        <w:t>age</w:t>
      </w:r>
      <w:r>
        <w:rPr>
          <w:rFonts w:ascii="Times New Roman" w:hAnsi="Times New Roman" w:cs="Times New Roman"/>
          <w:sz w:val="24"/>
          <w:szCs w:val="24"/>
        </w:rPr>
        <w:t>, Hispanic</w:t>
      </w:r>
      <w:r w:rsidR="00BF1BD2">
        <w:rPr>
          <w:rFonts w:ascii="Times New Roman" w:hAnsi="Times New Roman" w:cs="Times New Roman"/>
          <w:sz w:val="24"/>
          <w:szCs w:val="24"/>
        </w:rPr>
        <w:t xml:space="preserve"> </w:t>
      </w:r>
      <w:r>
        <w:rPr>
          <w:rFonts w:ascii="Times New Roman" w:hAnsi="Times New Roman" w:cs="Times New Roman"/>
          <w:sz w:val="24"/>
          <w:szCs w:val="24"/>
        </w:rPr>
        <w:t xml:space="preserve">ethnicity, and the political party of the governor had a statistically significant relationship with </w:t>
      </w:r>
      <w:r w:rsidR="004044CC">
        <w:rPr>
          <w:rFonts w:ascii="Times New Roman" w:hAnsi="Times New Roman" w:cs="Times New Roman"/>
          <w:sz w:val="24"/>
          <w:szCs w:val="24"/>
        </w:rPr>
        <w:t>incidenc</w:t>
      </w:r>
      <w:r>
        <w:rPr>
          <w:rFonts w:ascii="Times New Roman" w:hAnsi="Times New Roman" w:cs="Times New Roman"/>
          <w:sz w:val="24"/>
          <w:szCs w:val="24"/>
        </w:rPr>
        <w:t xml:space="preserve">e rate. States with Republican governors had a </w:t>
      </w:r>
      <w:r w:rsidR="004044CC">
        <w:rPr>
          <w:rFonts w:ascii="Times New Roman" w:hAnsi="Times New Roman" w:cs="Times New Roman"/>
          <w:sz w:val="24"/>
          <w:szCs w:val="24"/>
        </w:rPr>
        <w:t>59</w:t>
      </w:r>
      <w:r>
        <w:rPr>
          <w:rFonts w:ascii="Times New Roman" w:hAnsi="Times New Roman" w:cs="Times New Roman"/>
          <w:sz w:val="24"/>
          <w:szCs w:val="24"/>
        </w:rPr>
        <w:t>.</w:t>
      </w:r>
      <w:r w:rsidR="004044CC">
        <w:rPr>
          <w:rFonts w:ascii="Times New Roman" w:hAnsi="Times New Roman" w:cs="Times New Roman"/>
          <w:sz w:val="24"/>
          <w:szCs w:val="24"/>
        </w:rPr>
        <w:t>2</w:t>
      </w:r>
      <w:r>
        <w:rPr>
          <w:rFonts w:ascii="Times New Roman" w:hAnsi="Times New Roman" w:cs="Times New Roman"/>
          <w:sz w:val="24"/>
          <w:szCs w:val="24"/>
        </w:rPr>
        <w:t>% decrease in the</w:t>
      </w:r>
      <w:r w:rsidR="004044CC">
        <w:rPr>
          <w:rFonts w:ascii="Times New Roman" w:hAnsi="Times New Roman" w:cs="Times New Roman"/>
          <w:sz w:val="24"/>
          <w:szCs w:val="24"/>
        </w:rPr>
        <w:t xml:space="preserve"> incidence</w:t>
      </w:r>
      <w:r>
        <w:rPr>
          <w:rFonts w:ascii="Times New Roman" w:hAnsi="Times New Roman" w:cs="Times New Roman"/>
          <w:sz w:val="24"/>
          <w:szCs w:val="24"/>
        </w:rPr>
        <w:t xml:space="preserve"> rate </w:t>
      </w:r>
      <w:r w:rsidR="004044CC">
        <w:rPr>
          <w:rFonts w:ascii="Times New Roman" w:hAnsi="Times New Roman" w:cs="Times New Roman"/>
          <w:sz w:val="24"/>
          <w:szCs w:val="24"/>
        </w:rPr>
        <w:t xml:space="preserve">compared to states with Democratic governors </w:t>
      </w:r>
      <w:r>
        <w:rPr>
          <w:rFonts w:ascii="Times New Roman" w:hAnsi="Times New Roman" w:cs="Times New Roman"/>
          <w:sz w:val="24"/>
          <w:szCs w:val="24"/>
        </w:rPr>
        <w:t>(</w:t>
      </w:r>
      <w:r w:rsidR="004044CC">
        <w:rPr>
          <w:rFonts w:ascii="Times New Roman" w:hAnsi="Times New Roman" w:cs="Times New Roman"/>
          <w:sz w:val="24"/>
          <w:szCs w:val="24"/>
        </w:rPr>
        <w:t>I</w:t>
      </w:r>
      <w:r>
        <w:rPr>
          <w:rFonts w:ascii="Times New Roman" w:hAnsi="Times New Roman" w:cs="Times New Roman"/>
          <w:sz w:val="24"/>
          <w:szCs w:val="24"/>
        </w:rPr>
        <w:t>RR=0.</w:t>
      </w:r>
      <w:r w:rsidR="004044CC">
        <w:rPr>
          <w:rFonts w:ascii="Times New Roman" w:hAnsi="Times New Roman" w:cs="Times New Roman"/>
          <w:sz w:val="24"/>
          <w:szCs w:val="24"/>
        </w:rPr>
        <w:t>418</w:t>
      </w:r>
      <w:r>
        <w:rPr>
          <w:rFonts w:ascii="Times New Roman" w:hAnsi="Times New Roman" w:cs="Times New Roman"/>
          <w:sz w:val="24"/>
          <w:szCs w:val="24"/>
        </w:rPr>
        <w:t>; 95% CI: 0.2</w:t>
      </w:r>
      <w:r w:rsidR="004044CC">
        <w:rPr>
          <w:rFonts w:ascii="Times New Roman" w:hAnsi="Times New Roman" w:cs="Times New Roman"/>
          <w:sz w:val="24"/>
          <w:szCs w:val="24"/>
        </w:rPr>
        <w:t>09</w:t>
      </w:r>
      <w:r>
        <w:rPr>
          <w:rFonts w:ascii="Times New Roman" w:hAnsi="Times New Roman" w:cs="Times New Roman"/>
          <w:sz w:val="24"/>
          <w:szCs w:val="24"/>
        </w:rPr>
        <w:t>-0.</w:t>
      </w:r>
      <w:r w:rsidR="004044CC">
        <w:rPr>
          <w:rFonts w:ascii="Times New Roman" w:hAnsi="Times New Roman" w:cs="Times New Roman"/>
          <w:sz w:val="24"/>
          <w:szCs w:val="24"/>
        </w:rPr>
        <w:t>837</w:t>
      </w:r>
      <w:r>
        <w:rPr>
          <w:rFonts w:ascii="Times New Roman" w:hAnsi="Times New Roman" w:cs="Times New Roman"/>
          <w:sz w:val="24"/>
          <w:szCs w:val="24"/>
        </w:rPr>
        <w:t xml:space="preserve">; p&lt;0.05). A state with a 1 percentage point higher proportion of Hispanic residents would have a </w:t>
      </w:r>
      <w:r w:rsidR="004044CC">
        <w:rPr>
          <w:rFonts w:ascii="Times New Roman" w:hAnsi="Times New Roman" w:cs="Times New Roman"/>
          <w:sz w:val="24"/>
          <w:szCs w:val="24"/>
        </w:rPr>
        <w:t>5</w:t>
      </w:r>
      <w:r>
        <w:rPr>
          <w:rFonts w:ascii="Times New Roman" w:hAnsi="Times New Roman" w:cs="Times New Roman"/>
          <w:sz w:val="24"/>
          <w:szCs w:val="24"/>
        </w:rPr>
        <w:t>.</w:t>
      </w:r>
      <w:r w:rsidR="004044CC">
        <w:rPr>
          <w:rFonts w:ascii="Times New Roman" w:hAnsi="Times New Roman" w:cs="Times New Roman"/>
          <w:sz w:val="24"/>
          <w:szCs w:val="24"/>
        </w:rPr>
        <w:t>1</w:t>
      </w:r>
      <w:r>
        <w:rPr>
          <w:rFonts w:ascii="Times New Roman" w:hAnsi="Times New Roman" w:cs="Times New Roman"/>
          <w:sz w:val="24"/>
          <w:szCs w:val="24"/>
        </w:rPr>
        <w:t xml:space="preserve">% decrease in the </w:t>
      </w:r>
      <w:r w:rsidR="004044CC">
        <w:rPr>
          <w:rFonts w:ascii="Times New Roman" w:hAnsi="Times New Roman" w:cs="Times New Roman"/>
          <w:sz w:val="24"/>
          <w:szCs w:val="24"/>
        </w:rPr>
        <w:t>incidence</w:t>
      </w:r>
      <w:r>
        <w:rPr>
          <w:rFonts w:ascii="Times New Roman" w:hAnsi="Times New Roman" w:cs="Times New Roman"/>
          <w:sz w:val="24"/>
          <w:szCs w:val="24"/>
        </w:rPr>
        <w:t xml:space="preserve"> rate (</w:t>
      </w:r>
      <w:r w:rsidR="004044CC">
        <w:rPr>
          <w:rFonts w:ascii="Times New Roman" w:hAnsi="Times New Roman" w:cs="Times New Roman"/>
          <w:sz w:val="24"/>
          <w:szCs w:val="24"/>
        </w:rPr>
        <w:t>I</w:t>
      </w:r>
      <w:r>
        <w:rPr>
          <w:rFonts w:ascii="Times New Roman" w:hAnsi="Times New Roman" w:cs="Times New Roman"/>
          <w:sz w:val="24"/>
          <w:szCs w:val="24"/>
        </w:rPr>
        <w:t>RR=0.956; 95% CI:0.9</w:t>
      </w:r>
      <w:r w:rsidR="004044CC">
        <w:rPr>
          <w:rFonts w:ascii="Times New Roman" w:hAnsi="Times New Roman" w:cs="Times New Roman"/>
          <w:sz w:val="24"/>
          <w:szCs w:val="24"/>
        </w:rPr>
        <w:t>07</w:t>
      </w:r>
      <w:r>
        <w:rPr>
          <w:rFonts w:ascii="Times New Roman" w:hAnsi="Times New Roman" w:cs="Times New Roman"/>
          <w:sz w:val="24"/>
          <w:szCs w:val="24"/>
        </w:rPr>
        <w:t>-0.99</w:t>
      </w:r>
      <w:r w:rsidR="004044CC">
        <w:rPr>
          <w:rFonts w:ascii="Times New Roman" w:hAnsi="Times New Roman" w:cs="Times New Roman"/>
          <w:sz w:val="24"/>
          <w:szCs w:val="24"/>
        </w:rPr>
        <w:t>2</w:t>
      </w:r>
      <w:r>
        <w:rPr>
          <w:rFonts w:ascii="Times New Roman" w:hAnsi="Times New Roman" w:cs="Times New Roman"/>
          <w:sz w:val="24"/>
          <w:szCs w:val="24"/>
        </w:rPr>
        <w:t>; p&lt;0.05).</w:t>
      </w:r>
      <w:r w:rsidR="004044CC">
        <w:rPr>
          <w:rFonts w:ascii="Times New Roman" w:hAnsi="Times New Roman" w:cs="Times New Roman"/>
          <w:sz w:val="24"/>
          <w:szCs w:val="24"/>
        </w:rPr>
        <w:t xml:space="preserve"> A state with a one-year increase in median age would have 11% decrease in incidence rate (IRR=0.890; 95% CI: 0.812-0.975; p&lt;0.05).</w:t>
      </w:r>
    </w:p>
    <w:p w14:paraId="658BF15A" w14:textId="7C87BED4" w:rsidR="00EB56D6" w:rsidRPr="00BF1BD2" w:rsidRDefault="004044CC" w:rsidP="00CB27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direction of the relationship between public transit use and </w:t>
      </w:r>
      <w:r w:rsidR="00BF1BD2">
        <w:rPr>
          <w:rFonts w:ascii="Times New Roman" w:hAnsi="Times New Roman" w:cs="Times New Roman"/>
          <w:sz w:val="24"/>
          <w:szCs w:val="24"/>
        </w:rPr>
        <w:t xml:space="preserve">incidence rate or prevalence rate was consistent in both models, the lack of statistical significance or a meaningful rate ratio makes it difficult to draw conclusions on the nature of the relationship based on these </w:t>
      </w:r>
      <w:r w:rsidR="00BF1BD2">
        <w:rPr>
          <w:rFonts w:ascii="Times New Roman" w:hAnsi="Times New Roman" w:cs="Times New Roman"/>
          <w:sz w:val="24"/>
          <w:szCs w:val="24"/>
        </w:rPr>
        <w:lastRenderedPageBreak/>
        <w:t xml:space="preserve">models. The only variables with both statistical significance and meaningful rate ratios in both models were Hispanic ethnicity and the political party of the governor. </w:t>
      </w:r>
    </w:p>
    <w:p w14:paraId="624084EC" w14:textId="50C21BFD" w:rsidR="00CB27FB" w:rsidRDefault="00CB27FB" w:rsidP="00CB27FB">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448AD770" w14:textId="005351A2" w:rsidR="00E275DA" w:rsidRDefault="00E275DA" w:rsidP="00CB27FB">
      <w:pPr>
        <w:spacing w:line="480" w:lineRule="auto"/>
        <w:rPr>
          <w:rFonts w:ascii="Times New Roman" w:hAnsi="Times New Roman" w:cs="Times New Roman"/>
          <w:sz w:val="24"/>
          <w:szCs w:val="24"/>
        </w:rPr>
      </w:pPr>
      <w:r>
        <w:rPr>
          <w:rFonts w:ascii="Times New Roman" w:hAnsi="Times New Roman" w:cs="Times New Roman"/>
          <w:sz w:val="24"/>
          <w:szCs w:val="24"/>
        </w:rPr>
        <w:tab/>
        <w:t>These results indicate that public transit use may not impact the spread of COVID-19 to a significant extent. While there was a consistent positive relationship between public transit use and rate ratios, both the prevalence rate ratio and incidence rate ratio were small and the 95% confidence interval for both included 1, indicating uncertainty in both the direction and even the existence of a relationship between public transit use and the spread of COVID-19.</w:t>
      </w:r>
      <w:r w:rsidR="009242F1">
        <w:rPr>
          <w:rFonts w:ascii="Times New Roman" w:hAnsi="Times New Roman" w:cs="Times New Roman"/>
          <w:sz w:val="24"/>
          <w:szCs w:val="24"/>
        </w:rPr>
        <w:t xml:space="preserve"> As public transit use was overall fairly low at the state-level, it may just not be common enough to have a significant impact on COVID-19 spread.</w:t>
      </w:r>
      <w:r>
        <w:rPr>
          <w:rFonts w:ascii="Times New Roman" w:hAnsi="Times New Roman" w:cs="Times New Roman"/>
          <w:sz w:val="24"/>
          <w:szCs w:val="24"/>
        </w:rPr>
        <w:t xml:space="preserve"> It is still important to use appropriate social distancing and sanitation in public transportation, as in any public space. Additionally, special protections should be included for transit workers, as early reports indicate that they are dying at higher rates and research has shown that they are more susceptible to infection even under non-pandemic conditions.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thenation.com/article/politics/mta-transit-driver-covid/","accessed":{"date-parts":[["2020","4","29"]]},"author":[{"dropping-particle":"","family":"Barkan","given":"Ross","non-dropping-particle":"","parse-names":false,"suffix":""}],"container-title":"The Nation.","id":"ITEM-1","issued":{"date-parts":[["2020","4","9"]]},"title":"New York’s Transit Workers Keep Getting Sick","type":"webpage"},"uris":["http://www.mendeley.com/documents/?uuid=f81c7492-74cd-3f8e-a50b-bbdb27474a43"]},{"id":"ITEM-2","itemData":{"author":[{"dropping-particle":"","family":"Winkleby","given":"MA","non-dropping-particle":"","parse-names":false,"suffix":""},{"dropping-particle":"","family":"Ragland","given":"DR","non-dropping-particle":"","parse-names":false,"suffix":""},{"dropping-particle":"","family":"Fisher","given":"JM","non-dropping-particle":"","parse-names":false,"suffix":""},{"dropping-particle":"","family":"Syme","given":"SL","non-dropping-particle":"","parse-names":false,"suffix":""}],"container-title":"Int J Epidemiol","id":"ITEM-2","issue":"2","issued":{"date-parts":[["1988","6"]]},"page":"255-262","title":"Excess risk of sickness and disease in bus drivers: a review and synthesis of epidemiological studies.","type":"article-journal","volume":"17"},"uris":["http://www.mendeley.com/documents/?uuid=826334ea-dc67-3fa4-a8ba-3181d38d35c7"]}],"mendeley":{"formattedCitation":"&lt;sup&gt;16,17&lt;/sup&gt;","plainTextFormattedCitation":"16,17"},"properties":{"noteIndex":0},"schema":"https://github.com/citation-style-language/schema/raw/master/csl-citation.json"}</w:instrText>
      </w:r>
      <w:r>
        <w:rPr>
          <w:rFonts w:ascii="Times New Roman" w:hAnsi="Times New Roman" w:cs="Times New Roman"/>
          <w:sz w:val="24"/>
          <w:szCs w:val="24"/>
        </w:rPr>
        <w:fldChar w:fldCharType="separate"/>
      </w:r>
      <w:r w:rsidRPr="00E275DA">
        <w:rPr>
          <w:rFonts w:ascii="Times New Roman" w:hAnsi="Times New Roman" w:cs="Times New Roman"/>
          <w:noProof/>
          <w:sz w:val="24"/>
          <w:szCs w:val="24"/>
          <w:vertAlign w:val="superscript"/>
        </w:rPr>
        <w:t>16,17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102A9">
        <w:rPr>
          <w:rFonts w:ascii="Times New Roman" w:hAnsi="Times New Roman" w:cs="Times New Roman"/>
          <w:sz w:val="24"/>
          <w:szCs w:val="24"/>
        </w:rPr>
        <w:t>Overall, these results may indicate that with appropriate precautions, public transit may not significantly contribute to the spread of COVID-19.</w:t>
      </w:r>
    </w:p>
    <w:p w14:paraId="16937224" w14:textId="231C48CA" w:rsidR="006102A9" w:rsidRDefault="006102A9" w:rsidP="00CB27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interesting that both an increased proportion of Hispanic residents and having a Republican governor decreased the incidence and prevalence rates of COVID-19, it is difficult to draw actionable conclusions from this information. Additionally, as prevalence rate and incidence rate were measured at only 2 weeks after the first case in each state, most governors had not taken significant action to limit travel or movement at this point, indicating that the impact of the governor’s political party may have more to do with which states have Republican governors than any specific actions by those governors to address the crisis. </w:t>
      </w:r>
    </w:p>
    <w:p w14:paraId="41B8A4CF" w14:textId="026108F9" w:rsidR="00F35562" w:rsidRDefault="006102A9" w:rsidP="00610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nature of trying to assess the spread of a pandemic while it is still happening, this paper has significant limitations. States may have had significantly </w:t>
      </w:r>
      <w:r w:rsidR="00F35562">
        <w:rPr>
          <w:rFonts w:ascii="Times New Roman" w:hAnsi="Times New Roman" w:cs="Times New Roman"/>
          <w:sz w:val="24"/>
          <w:szCs w:val="24"/>
        </w:rPr>
        <w:t>different levels of testing</w:t>
      </w:r>
      <w:r>
        <w:rPr>
          <w:rFonts w:ascii="Times New Roman" w:hAnsi="Times New Roman" w:cs="Times New Roman"/>
          <w:sz w:val="24"/>
          <w:szCs w:val="24"/>
        </w:rPr>
        <w:t xml:space="preserve"> and reporting capabilities early on in the pandemic, which would have impacted the reported incidence and prevalence of COVID-19 in each states. Additionally, there was </w:t>
      </w:r>
      <w:r w:rsidR="00F35562">
        <w:rPr>
          <w:rFonts w:ascii="Times New Roman" w:hAnsi="Times New Roman" w:cs="Times New Roman"/>
          <w:sz w:val="24"/>
          <w:szCs w:val="24"/>
        </w:rPr>
        <w:t xml:space="preserve">no ability to parse </w:t>
      </w:r>
      <w:r>
        <w:rPr>
          <w:rFonts w:ascii="Times New Roman" w:hAnsi="Times New Roman" w:cs="Times New Roman"/>
          <w:sz w:val="24"/>
          <w:szCs w:val="24"/>
        </w:rPr>
        <w:t xml:space="preserve">out </w:t>
      </w:r>
      <w:r w:rsidR="00F35562">
        <w:rPr>
          <w:rFonts w:ascii="Times New Roman" w:hAnsi="Times New Roman" w:cs="Times New Roman"/>
          <w:sz w:val="24"/>
          <w:szCs w:val="24"/>
        </w:rPr>
        <w:t>different types of public transit,</w:t>
      </w:r>
      <w:r>
        <w:rPr>
          <w:rFonts w:ascii="Times New Roman" w:hAnsi="Times New Roman" w:cs="Times New Roman"/>
          <w:sz w:val="24"/>
          <w:szCs w:val="24"/>
        </w:rPr>
        <w:t xml:space="preserve"> so some types may have had more or less of an impact than others. Additionally,</w:t>
      </w:r>
      <w:r w:rsidR="00F35562">
        <w:rPr>
          <w:rFonts w:ascii="Times New Roman" w:hAnsi="Times New Roman" w:cs="Times New Roman"/>
          <w:sz w:val="24"/>
          <w:szCs w:val="24"/>
        </w:rPr>
        <w:t xml:space="preserve"> some states had extremely low prevalence and incidence rates 2 weeks after their first case, as they were not experiencing community transmission at that time</w:t>
      </w:r>
      <w:r>
        <w:rPr>
          <w:rFonts w:ascii="Times New Roman" w:hAnsi="Times New Roman" w:cs="Times New Roman"/>
          <w:sz w:val="24"/>
          <w:szCs w:val="24"/>
        </w:rPr>
        <w:t>.</w:t>
      </w:r>
      <w:r w:rsidR="009E5B0F">
        <w:rPr>
          <w:rFonts w:ascii="Times New Roman" w:hAnsi="Times New Roman" w:cs="Times New Roman"/>
          <w:sz w:val="24"/>
          <w:szCs w:val="24"/>
        </w:rPr>
        <w:t xml:space="preserve"> </w:t>
      </w:r>
      <w:r>
        <w:rPr>
          <w:rFonts w:ascii="Times New Roman" w:hAnsi="Times New Roman" w:cs="Times New Roman"/>
          <w:sz w:val="24"/>
          <w:szCs w:val="24"/>
        </w:rPr>
        <w:t>T</w:t>
      </w:r>
      <w:r w:rsidR="009E5B0F">
        <w:rPr>
          <w:rFonts w:ascii="Times New Roman" w:hAnsi="Times New Roman" w:cs="Times New Roman"/>
          <w:sz w:val="24"/>
          <w:szCs w:val="24"/>
        </w:rPr>
        <w:t>hese states generally had higher public transit usage than the median</w:t>
      </w:r>
      <w:r>
        <w:rPr>
          <w:rFonts w:ascii="Times New Roman" w:hAnsi="Times New Roman" w:cs="Times New Roman"/>
          <w:sz w:val="24"/>
          <w:szCs w:val="24"/>
        </w:rPr>
        <w:t xml:space="preserve"> potentially biasing </w:t>
      </w:r>
      <w:r w:rsidR="009E5B0F">
        <w:rPr>
          <w:rFonts w:ascii="Times New Roman" w:hAnsi="Times New Roman" w:cs="Times New Roman"/>
          <w:sz w:val="24"/>
          <w:szCs w:val="24"/>
        </w:rPr>
        <w:t>the results</w:t>
      </w:r>
      <w:r>
        <w:rPr>
          <w:rFonts w:ascii="Times New Roman" w:hAnsi="Times New Roman" w:cs="Times New Roman"/>
          <w:sz w:val="24"/>
          <w:szCs w:val="24"/>
        </w:rPr>
        <w:t>.</w:t>
      </w:r>
    </w:p>
    <w:p w14:paraId="5FA1E2DD" w14:textId="068A4D4D" w:rsidR="006102A9" w:rsidRPr="00F35562" w:rsidRDefault="006102A9" w:rsidP="00610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these limitations, the results indicate that public transit use may not have as significant an impact on COVID-19 transmission as many had feared. </w:t>
      </w:r>
      <w:r w:rsidR="00654610">
        <w:rPr>
          <w:rFonts w:ascii="Times New Roman" w:hAnsi="Times New Roman" w:cs="Times New Roman"/>
          <w:sz w:val="24"/>
          <w:szCs w:val="24"/>
        </w:rPr>
        <w:t xml:space="preserve">Future analyses could include more recent data and could use panel data to look at the impact of public transport use on incidence and prevalence rate trends. </w:t>
      </w:r>
      <w:r>
        <w:rPr>
          <w:rFonts w:ascii="Times New Roman" w:hAnsi="Times New Roman" w:cs="Times New Roman"/>
          <w:sz w:val="24"/>
          <w:szCs w:val="24"/>
        </w:rPr>
        <w:t xml:space="preserve">With appropriate precautions, especially for transit workers, it may be </w:t>
      </w:r>
      <w:r w:rsidR="002B7FCC">
        <w:rPr>
          <w:rFonts w:ascii="Times New Roman" w:hAnsi="Times New Roman" w:cs="Times New Roman"/>
          <w:sz w:val="24"/>
          <w:szCs w:val="24"/>
        </w:rPr>
        <w:t xml:space="preserve">appropriate to gradually increase hours and services to reach the increasing need for transit as states reopen. </w:t>
      </w:r>
    </w:p>
    <w:p w14:paraId="43BF2562" w14:textId="529DC409" w:rsidR="00CB27FB" w:rsidRDefault="00CB27FB" w:rsidP="00CB27FB">
      <w:pPr>
        <w:spacing w:line="480" w:lineRule="auto"/>
        <w:rPr>
          <w:rFonts w:ascii="Times New Roman" w:hAnsi="Times New Roman" w:cs="Times New Roman"/>
          <w:b/>
          <w:bCs/>
          <w:sz w:val="24"/>
          <w:szCs w:val="24"/>
        </w:rPr>
      </w:pPr>
    </w:p>
    <w:p w14:paraId="5095CABA" w14:textId="77777777" w:rsidR="00605108" w:rsidRDefault="00605108">
      <w:pPr>
        <w:rPr>
          <w:rFonts w:ascii="Times New Roman" w:hAnsi="Times New Roman" w:cs="Times New Roman"/>
          <w:b/>
          <w:bCs/>
          <w:sz w:val="24"/>
          <w:szCs w:val="24"/>
        </w:rPr>
      </w:pPr>
      <w:r>
        <w:rPr>
          <w:rFonts w:ascii="Times New Roman" w:hAnsi="Times New Roman" w:cs="Times New Roman"/>
          <w:b/>
          <w:bCs/>
          <w:sz w:val="24"/>
          <w:szCs w:val="24"/>
        </w:rPr>
        <w:br w:type="page"/>
      </w:r>
    </w:p>
    <w:p w14:paraId="66F79E3A" w14:textId="26F643DA" w:rsidR="00393CB4" w:rsidRDefault="00393CB4" w:rsidP="00CB27F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49EA064A" w14:textId="1D151F19" w:rsidR="00E275DA" w:rsidRPr="00E275DA" w:rsidRDefault="00393CB4"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E275DA" w:rsidRPr="00E275DA">
        <w:rPr>
          <w:rFonts w:ascii="Times New Roman" w:hAnsi="Times New Roman" w:cs="Times New Roman"/>
          <w:noProof/>
          <w:sz w:val="24"/>
          <w:szCs w:val="24"/>
        </w:rPr>
        <w:t xml:space="preserve">1. </w:t>
      </w:r>
      <w:r w:rsidR="00E275DA" w:rsidRPr="00E275DA">
        <w:rPr>
          <w:rFonts w:ascii="Times New Roman" w:hAnsi="Times New Roman" w:cs="Times New Roman"/>
          <w:noProof/>
          <w:sz w:val="24"/>
          <w:szCs w:val="24"/>
        </w:rPr>
        <w:tab/>
        <w:t>Glanz J, Leatherby L, Bloch M, et al. Coronavirus Could Overwhelm U.S. Without Urgent Action, Estimates Say. The New York Times. https://www.nytimes.com/interactive/2020/03/20/us/coronavirus-model-us-outbreak.html. Published March 20, 2020. Accessed March 24, 2020.</w:t>
      </w:r>
    </w:p>
    <w:p w14:paraId="32001BBA"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2. </w:t>
      </w:r>
      <w:r w:rsidRPr="00E275DA">
        <w:rPr>
          <w:rFonts w:ascii="Times New Roman" w:hAnsi="Times New Roman" w:cs="Times New Roman"/>
          <w:noProof/>
          <w:sz w:val="24"/>
          <w:szCs w:val="24"/>
        </w:rPr>
        <w:tab/>
        <w:t>Fink S. White House Takes New Line After Dire Report on Death Toll . The New York Times. https://www.nytimes.com/2020/03/16/us/coronavirus-fatality-rate-white-house.html. Published March 16, 2020. Accessed March 24, 2020.</w:t>
      </w:r>
    </w:p>
    <w:p w14:paraId="4934760D"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3. </w:t>
      </w:r>
      <w:r w:rsidRPr="00E275DA">
        <w:rPr>
          <w:rFonts w:ascii="Times New Roman" w:hAnsi="Times New Roman" w:cs="Times New Roman"/>
          <w:noProof/>
          <w:sz w:val="24"/>
          <w:szCs w:val="24"/>
        </w:rPr>
        <w:tab/>
        <w:t xml:space="preserve">Department of Health and Human Services. </w:t>
      </w:r>
      <w:r w:rsidRPr="00E275DA">
        <w:rPr>
          <w:rFonts w:ascii="Times New Roman" w:hAnsi="Times New Roman" w:cs="Times New Roman"/>
          <w:i/>
          <w:iCs/>
          <w:noProof/>
          <w:sz w:val="24"/>
          <w:szCs w:val="24"/>
        </w:rPr>
        <w:t>PanCAP Adapted U.S. Government COVID-19 Response Plan</w:t>
      </w:r>
      <w:r w:rsidRPr="00E275DA">
        <w:rPr>
          <w:rFonts w:ascii="Times New Roman" w:hAnsi="Times New Roman" w:cs="Times New Roman"/>
          <w:noProof/>
          <w:sz w:val="24"/>
          <w:szCs w:val="24"/>
        </w:rPr>
        <w:t>.; 2020. https://int.nyt.com/data/documenthelper/6819-covid-19-response-plan/d367f758bec47cad361f/optimized/full.pdf#page=1. Accessed March 24, 2020.</w:t>
      </w:r>
    </w:p>
    <w:p w14:paraId="7CA1B57F"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4. </w:t>
      </w:r>
      <w:r w:rsidRPr="00E275DA">
        <w:rPr>
          <w:rFonts w:ascii="Times New Roman" w:hAnsi="Times New Roman" w:cs="Times New Roman"/>
          <w:noProof/>
          <w:sz w:val="24"/>
          <w:szCs w:val="24"/>
        </w:rPr>
        <w:tab/>
        <w:t>Levy A, Goldwyn E. How U.S. Public Transit Can Survive Coronavirus. City Lab. https://www.citylab.com/perspective/2020/04/coronavirus-public-transit-ridership-federal-funding-bus-subways/610453/. Published April 24, 2020. Accessed April 29, 2020.</w:t>
      </w:r>
    </w:p>
    <w:p w14:paraId="62BCD51A"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5. </w:t>
      </w:r>
      <w:r w:rsidRPr="00E275DA">
        <w:rPr>
          <w:rFonts w:ascii="Times New Roman" w:hAnsi="Times New Roman" w:cs="Times New Roman"/>
          <w:noProof/>
          <w:sz w:val="24"/>
          <w:szCs w:val="24"/>
        </w:rPr>
        <w:tab/>
        <w:t>Mervosh S, Lee JC. See Which States Are Reopening and Which Are Still Shut Down. The New York Times. https://www.nytimes.com/interactive/2020/us/states-reopen-map-coronavirus.html. Published April 27, 2020. Accessed April 28, 2020.</w:t>
      </w:r>
    </w:p>
    <w:p w14:paraId="01482BFA"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6. </w:t>
      </w:r>
      <w:r w:rsidRPr="00E275DA">
        <w:rPr>
          <w:rFonts w:ascii="Times New Roman" w:hAnsi="Times New Roman" w:cs="Times New Roman"/>
          <w:noProof/>
          <w:sz w:val="24"/>
          <w:szCs w:val="24"/>
        </w:rPr>
        <w:tab/>
        <w:t>United States Department of Transportation Statistics. Commuting to Work. Bureau of Transportation Statistics. https://www.bts.gov/content/commuting-work. Published 2013. Accessed April 28, 2020.</w:t>
      </w:r>
    </w:p>
    <w:p w14:paraId="48CBCE04"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lastRenderedPageBreak/>
        <w:t xml:space="preserve">7. </w:t>
      </w:r>
      <w:r w:rsidRPr="00E275DA">
        <w:rPr>
          <w:rFonts w:ascii="Times New Roman" w:hAnsi="Times New Roman" w:cs="Times New Roman"/>
          <w:noProof/>
          <w:sz w:val="24"/>
          <w:szCs w:val="24"/>
        </w:rPr>
        <w:tab/>
        <w:t>The New York Times. Coronavirus (Covid-19) Data in the United States. https://github.com/nytimes/covid-19-data/blob/master/README.md. Accessed April 28, 2020.</w:t>
      </w:r>
    </w:p>
    <w:p w14:paraId="4DAB5222"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8. </w:t>
      </w:r>
      <w:r w:rsidRPr="00E275DA">
        <w:rPr>
          <w:rFonts w:ascii="Times New Roman" w:hAnsi="Times New Roman" w:cs="Times New Roman"/>
          <w:noProof/>
          <w:sz w:val="24"/>
          <w:szCs w:val="24"/>
        </w:rPr>
        <w:tab/>
        <w:t>National Governors Association (NGA). Current Governors 2020. Kaiser Family Foundation. https://www.kff.org/other/state-indicator/governors/?currentTimeframe=0&amp;sortModel=%7B%22colId%22:%22Location%22,%22sort%22:%22asc%22%7D. Published 2020. Accessed April 28, 2020.</w:t>
      </w:r>
    </w:p>
    <w:p w14:paraId="407AD01F"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9. </w:t>
      </w:r>
      <w:r w:rsidRPr="00E275DA">
        <w:rPr>
          <w:rFonts w:ascii="Times New Roman" w:hAnsi="Times New Roman" w:cs="Times New Roman"/>
          <w:noProof/>
          <w:sz w:val="24"/>
          <w:szCs w:val="24"/>
        </w:rPr>
        <w:tab/>
        <w:t>United States Census Bureau. American Community Survey. https://data.census.gov/cedsci/all?q=median age&amp;hidePreview=false&amp;tid=ACSST1Y2018.S0101&amp;t=Age and Sex. Published 2018. Accessed April 28, 2020.</w:t>
      </w:r>
    </w:p>
    <w:p w14:paraId="428F1312"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10. </w:t>
      </w:r>
      <w:r w:rsidRPr="00E275DA">
        <w:rPr>
          <w:rFonts w:ascii="Times New Roman" w:hAnsi="Times New Roman" w:cs="Times New Roman"/>
          <w:noProof/>
          <w:sz w:val="24"/>
          <w:szCs w:val="24"/>
        </w:rPr>
        <w:tab/>
        <w:t>United States Census Bureau. 2010 Census: Population Density Data. 2010. https://www.census.gov/data/tables/2010/dec/density-data-text.html. Accessed April 28, 2020.</w:t>
      </w:r>
    </w:p>
    <w:p w14:paraId="05DB8344"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11. </w:t>
      </w:r>
      <w:r w:rsidRPr="00E275DA">
        <w:rPr>
          <w:rFonts w:ascii="Times New Roman" w:hAnsi="Times New Roman" w:cs="Times New Roman"/>
          <w:noProof/>
          <w:sz w:val="24"/>
          <w:szCs w:val="24"/>
        </w:rPr>
        <w:tab/>
        <w:t xml:space="preserve">Bialek S, Bowen V, Chow N, et al. Geographic Differences in COVID-19 Cases, Deaths, and Incidence — United States, February 12–April 7, 2020. </w:t>
      </w:r>
      <w:r w:rsidRPr="00E275DA">
        <w:rPr>
          <w:rFonts w:ascii="Times New Roman" w:hAnsi="Times New Roman" w:cs="Times New Roman"/>
          <w:i/>
          <w:iCs/>
          <w:noProof/>
          <w:sz w:val="24"/>
          <w:szCs w:val="24"/>
        </w:rPr>
        <w:t>Morb Mortal Wkly Rep</w:t>
      </w:r>
      <w:r w:rsidRPr="00E275DA">
        <w:rPr>
          <w:rFonts w:ascii="Times New Roman" w:hAnsi="Times New Roman" w:cs="Times New Roman"/>
          <w:noProof/>
          <w:sz w:val="24"/>
          <w:szCs w:val="24"/>
        </w:rPr>
        <w:t>. 2020;69(15):465-471. doi:10.15585/mmwr.mm6915e4</w:t>
      </w:r>
    </w:p>
    <w:p w14:paraId="5147867E"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12. </w:t>
      </w:r>
      <w:r w:rsidRPr="00E275DA">
        <w:rPr>
          <w:rFonts w:ascii="Times New Roman" w:hAnsi="Times New Roman" w:cs="Times New Roman"/>
          <w:noProof/>
          <w:sz w:val="24"/>
          <w:szCs w:val="24"/>
        </w:rPr>
        <w:tab/>
        <w:t>Andersen M. Who relies on public transit in the U.S. . Pew Research Center. https://www.pewresearch.org/fact-tank/2016/04/07/who-relies-on-public-transit-in-the-u-s/. Published April 17, 2016. Accessed April 29, 2020.</w:t>
      </w:r>
    </w:p>
    <w:p w14:paraId="3FFF71DB"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13. </w:t>
      </w:r>
      <w:r w:rsidRPr="00E275DA">
        <w:rPr>
          <w:rFonts w:ascii="Times New Roman" w:hAnsi="Times New Roman" w:cs="Times New Roman"/>
          <w:noProof/>
          <w:sz w:val="24"/>
          <w:szCs w:val="24"/>
        </w:rPr>
        <w:tab/>
        <w:t xml:space="preserve">Guan WJ, Ni ZY, Hu Y, et al. Clinical Characteristics of Coronavirus Disease 2019 in China. </w:t>
      </w:r>
      <w:r w:rsidRPr="00E275DA">
        <w:rPr>
          <w:rFonts w:ascii="Times New Roman" w:hAnsi="Times New Roman" w:cs="Times New Roman"/>
          <w:i/>
          <w:iCs/>
          <w:noProof/>
          <w:sz w:val="24"/>
          <w:szCs w:val="24"/>
        </w:rPr>
        <w:t>N Engl J Med</w:t>
      </w:r>
      <w:r w:rsidRPr="00E275DA">
        <w:rPr>
          <w:rFonts w:ascii="Times New Roman" w:hAnsi="Times New Roman" w:cs="Times New Roman"/>
          <w:noProof/>
          <w:sz w:val="24"/>
          <w:szCs w:val="24"/>
        </w:rPr>
        <w:t>. February 2020. doi:10.1056/NEJMoa2002032</w:t>
      </w:r>
    </w:p>
    <w:p w14:paraId="45BFAF7B"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14. </w:t>
      </w:r>
      <w:r w:rsidRPr="00E275DA">
        <w:rPr>
          <w:rFonts w:ascii="Times New Roman" w:hAnsi="Times New Roman" w:cs="Times New Roman"/>
          <w:noProof/>
          <w:sz w:val="24"/>
          <w:szCs w:val="24"/>
        </w:rPr>
        <w:tab/>
        <w:t xml:space="preserve">Garg S, Kim L, Whitaker M, et al. Hospitalization Rates and Characteristics of Patients Hospitalized with Laboratory-Confirmed Coronavirus Disease 2019 — COVID-NET, 14 States, March 1–30, 2020. </w:t>
      </w:r>
      <w:r w:rsidRPr="00E275DA">
        <w:rPr>
          <w:rFonts w:ascii="Times New Roman" w:hAnsi="Times New Roman" w:cs="Times New Roman"/>
          <w:i/>
          <w:iCs/>
          <w:noProof/>
          <w:sz w:val="24"/>
          <w:szCs w:val="24"/>
        </w:rPr>
        <w:t>Morb Mortal Wkly Rep</w:t>
      </w:r>
      <w:r w:rsidRPr="00E275DA">
        <w:rPr>
          <w:rFonts w:ascii="Times New Roman" w:hAnsi="Times New Roman" w:cs="Times New Roman"/>
          <w:noProof/>
          <w:sz w:val="24"/>
          <w:szCs w:val="24"/>
        </w:rPr>
        <w:t>. 2020;69(15):458-464. doi:10.15585/mmwr.mm6915e3</w:t>
      </w:r>
    </w:p>
    <w:p w14:paraId="65BBE21D"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15. </w:t>
      </w:r>
      <w:r w:rsidRPr="00E275DA">
        <w:rPr>
          <w:rFonts w:ascii="Times New Roman" w:hAnsi="Times New Roman" w:cs="Times New Roman"/>
          <w:noProof/>
          <w:sz w:val="24"/>
          <w:szCs w:val="24"/>
        </w:rPr>
        <w:tab/>
        <w:t>Grinstein-Weiss M, Gupta B. We don’t need a map to tell us who COVID-19 hits the hardest in St. Louis. Brookings. https://www.brookings.edu/blog/up-front/2020/04/06/we-dont-need-a-map-to-tell-us-who-covid-19-hits-the-hardest-in-st-louis/. Published April 8, 2020. Accessed April 29, 2020.</w:t>
      </w:r>
    </w:p>
    <w:p w14:paraId="73DE69F8"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szCs w:val="24"/>
        </w:rPr>
      </w:pPr>
      <w:r w:rsidRPr="00E275DA">
        <w:rPr>
          <w:rFonts w:ascii="Times New Roman" w:hAnsi="Times New Roman" w:cs="Times New Roman"/>
          <w:noProof/>
          <w:sz w:val="24"/>
          <w:szCs w:val="24"/>
        </w:rPr>
        <w:t xml:space="preserve">16. </w:t>
      </w:r>
      <w:r w:rsidRPr="00E275DA">
        <w:rPr>
          <w:rFonts w:ascii="Times New Roman" w:hAnsi="Times New Roman" w:cs="Times New Roman"/>
          <w:noProof/>
          <w:sz w:val="24"/>
          <w:szCs w:val="24"/>
        </w:rPr>
        <w:tab/>
        <w:t>Barkan R. New York’s Transit Workers Keep Getting Sick. The Nation. https://www.thenation.com/article/politics/mta-transit-driver-covid/. Published April 9, 2020. Accessed April 29, 2020.</w:t>
      </w:r>
    </w:p>
    <w:p w14:paraId="36943D77" w14:textId="77777777" w:rsidR="00E275DA" w:rsidRPr="00E275DA" w:rsidRDefault="00E275DA" w:rsidP="00E275DA">
      <w:pPr>
        <w:widowControl w:val="0"/>
        <w:autoSpaceDE w:val="0"/>
        <w:autoSpaceDN w:val="0"/>
        <w:adjustRightInd w:val="0"/>
        <w:spacing w:line="480" w:lineRule="auto"/>
        <w:ind w:left="640" w:hanging="640"/>
        <w:rPr>
          <w:rFonts w:ascii="Times New Roman" w:hAnsi="Times New Roman" w:cs="Times New Roman"/>
          <w:noProof/>
          <w:sz w:val="24"/>
        </w:rPr>
      </w:pPr>
      <w:r w:rsidRPr="00E275DA">
        <w:rPr>
          <w:rFonts w:ascii="Times New Roman" w:hAnsi="Times New Roman" w:cs="Times New Roman"/>
          <w:noProof/>
          <w:sz w:val="24"/>
          <w:szCs w:val="24"/>
        </w:rPr>
        <w:t xml:space="preserve">17. </w:t>
      </w:r>
      <w:r w:rsidRPr="00E275DA">
        <w:rPr>
          <w:rFonts w:ascii="Times New Roman" w:hAnsi="Times New Roman" w:cs="Times New Roman"/>
          <w:noProof/>
          <w:sz w:val="24"/>
          <w:szCs w:val="24"/>
        </w:rPr>
        <w:tab/>
        <w:t xml:space="preserve">Winkleby M, Ragland D, Fisher J, Syme S. Excess risk of sickness and disease in bus drivers: a review and synthesis of epidemiological studies. </w:t>
      </w:r>
      <w:r w:rsidRPr="00E275DA">
        <w:rPr>
          <w:rFonts w:ascii="Times New Roman" w:hAnsi="Times New Roman" w:cs="Times New Roman"/>
          <w:i/>
          <w:iCs/>
          <w:noProof/>
          <w:sz w:val="24"/>
          <w:szCs w:val="24"/>
        </w:rPr>
        <w:t>Int J Epidemiol</w:t>
      </w:r>
      <w:r w:rsidRPr="00E275DA">
        <w:rPr>
          <w:rFonts w:ascii="Times New Roman" w:hAnsi="Times New Roman" w:cs="Times New Roman"/>
          <w:noProof/>
          <w:sz w:val="24"/>
          <w:szCs w:val="24"/>
        </w:rPr>
        <w:t>. 1988;17(2):255-262. https://www.ncbi.nlm.nih.gov/pubmed/3042649. Accessed April 29, 2020.</w:t>
      </w:r>
    </w:p>
    <w:p w14:paraId="1AE095DA" w14:textId="66D94270" w:rsidR="00393CB4" w:rsidRPr="00CB27FB" w:rsidRDefault="00393CB4" w:rsidP="00CB27FB">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2C6ABA43" w14:textId="77777777" w:rsidR="00CB27FB" w:rsidRPr="00CB27FB" w:rsidRDefault="00CB27FB" w:rsidP="00CB27FB">
      <w:pPr>
        <w:jc w:val="center"/>
        <w:rPr>
          <w:rFonts w:ascii="Times New Roman" w:hAnsi="Times New Roman" w:cs="Times New Roman"/>
          <w:sz w:val="24"/>
          <w:szCs w:val="24"/>
        </w:rPr>
      </w:pPr>
    </w:p>
    <w:sectPr w:rsidR="00CB27FB" w:rsidRPr="00CB27FB">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3D260" w14:textId="77777777" w:rsidR="004044CC" w:rsidRDefault="004044CC" w:rsidP="00211EBF">
      <w:pPr>
        <w:spacing w:after="0" w:line="240" w:lineRule="auto"/>
      </w:pPr>
      <w:r>
        <w:separator/>
      </w:r>
    </w:p>
  </w:endnote>
  <w:endnote w:type="continuationSeparator" w:id="0">
    <w:p w14:paraId="10C48CEE" w14:textId="77777777" w:rsidR="004044CC" w:rsidRDefault="004044CC" w:rsidP="0021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DE102" w14:textId="77777777" w:rsidR="004044CC" w:rsidRDefault="004044CC" w:rsidP="00211EBF">
      <w:pPr>
        <w:spacing w:after="0" w:line="240" w:lineRule="auto"/>
      </w:pPr>
      <w:r>
        <w:separator/>
      </w:r>
    </w:p>
  </w:footnote>
  <w:footnote w:type="continuationSeparator" w:id="0">
    <w:p w14:paraId="5BF59361" w14:textId="77777777" w:rsidR="004044CC" w:rsidRDefault="004044CC" w:rsidP="00211EBF">
      <w:pPr>
        <w:spacing w:after="0" w:line="240" w:lineRule="auto"/>
      </w:pPr>
      <w:r>
        <w:continuationSeparator/>
      </w:r>
    </w:p>
  </w:footnote>
  <w:footnote w:id="1">
    <w:p w14:paraId="77C109AB" w14:textId="7397743F" w:rsidR="004044CC" w:rsidRDefault="004044CC">
      <w:pPr>
        <w:pStyle w:val="FootnoteText"/>
      </w:pPr>
      <w:r>
        <w:rPr>
          <w:rStyle w:val="FootnoteReference"/>
        </w:rPr>
        <w:footnoteRef/>
      </w:r>
      <w:r>
        <w:t xml:space="preserve"> Note: For the District of Columbia, Mayor Muriel Bowser (D) was counted as the governor as she is the leader of the district level executive branch of government.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B3"/>
    <w:rsid w:val="00117E50"/>
    <w:rsid w:val="001476D5"/>
    <w:rsid w:val="001B0195"/>
    <w:rsid w:val="0020205B"/>
    <w:rsid w:val="00211EBF"/>
    <w:rsid w:val="002253B4"/>
    <w:rsid w:val="00272C58"/>
    <w:rsid w:val="002A1E47"/>
    <w:rsid w:val="002B7FCC"/>
    <w:rsid w:val="003136D5"/>
    <w:rsid w:val="00375FEB"/>
    <w:rsid w:val="00393CB4"/>
    <w:rsid w:val="003D461F"/>
    <w:rsid w:val="003E6681"/>
    <w:rsid w:val="004044CC"/>
    <w:rsid w:val="00441ABB"/>
    <w:rsid w:val="0053531E"/>
    <w:rsid w:val="00605108"/>
    <w:rsid w:val="006102A9"/>
    <w:rsid w:val="00654610"/>
    <w:rsid w:val="00700CBD"/>
    <w:rsid w:val="00802CC3"/>
    <w:rsid w:val="00822B5A"/>
    <w:rsid w:val="00863A2F"/>
    <w:rsid w:val="0086767E"/>
    <w:rsid w:val="009242F1"/>
    <w:rsid w:val="0096168B"/>
    <w:rsid w:val="00973D45"/>
    <w:rsid w:val="009D7EF2"/>
    <w:rsid w:val="009E5B0F"/>
    <w:rsid w:val="00A4253B"/>
    <w:rsid w:val="00AE6FB3"/>
    <w:rsid w:val="00BF1BD2"/>
    <w:rsid w:val="00C86DC4"/>
    <w:rsid w:val="00CB27FB"/>
    <w:rsid w:val="00CC3340"/>
    <w:rsid w:val="00D22CC1"/>
    <w:rsid w:val="00DE2124"/>
    <w:rsid w:val="00DF616D"/>
    <w:rsid w:val="00E275DA"/>
    <w:rsid w:val="00E4219D"/>
    <w:rsid w:val="00EB56D6"/>
    <w:rsid w:val="00F27AF4"/>
    <w:rsid w:val="00F35562"/>
    <w:rsid w:val="00F66CB6"/>
    <w:rsid w:val="00FD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CB6E8"/>
  <w15:chartTrackingRefBased/>
  <w15:docId w15:val="{125B4F54-3AE2-4525-A2A3-2F8FFADA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05B"/>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5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B0F"/>
    <w:rPr>
      <w:rFonts w:ascii="Segoe UI" w:hAnsi="Segoe UI" w:cs="Segoe UI"/>
      <w:sz w:val="18"/>
      <w:szCs w:val="18"/>
    </w:rPr>
  </w:style>
  <w:style w:type="paragraph" w:styleId="FootnoteText">
    <w:name w:val="footnote text"/>
    <w:basedOn w:val="Normal"/>
    <w:link w:val="FootnoteTextChar"/>
    <w:uiPriority w:val="99"/>
    <w:semiHidden/>
    <w:unhideWhenUsed/>
    <w:rsid w:val="0021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EBF"/>
    <w:rPr>
      <w:sz w:val="20"/>
      <w:szCs w:val="20"/>
    </w:rPr>
  </w:style>
  <w:style w:type="character" w:styleId="FootnoteReference">
    <w:name w:val="footnote reference"/>
    <w:basedOn w:val="DefaultParagraphFont"/>
    <w:uiPriority w:val="99"/>
    <w:semiHidden/>
    <w:unhideWhenUsed/>
    <w:rsid w:val="00211E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219B8DAB-E377-4DC4-AA0E-9B56DD57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13</Pages>
  <Words>7611</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Reid</dc:creator>
  <cp:keywords/>
  <dc:description/>
  <cp:lastModifiedBy>Miranda Reid</cp:lastModifiedBy>
  <cp:revision>7</cp:revision>
  <dcterms:created xsi:type="dcterms:W3CDTF">2020-04-28T14:21:00Z</dcterms:created>
  <dcterms:modified xsi:type="dcterms:W3CDTF">2020-04-29T21:18:00Z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5b0767d4-d6be-36ea-94e9-79c76623718e</vt:lpwstr>
  </property>
  <property fmtid="{D5CDD505-2E9C-101B-9397-08002B2CF9AE}" pid="24" name="Mendeley Citation Style_1">
    <vt:lpwstr>http://www.zotero.org/styles/american-medical-association</vt:lpwstr>
  </property>
</Properties>
</file>