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ADAC50" w14:textId="4D159256" w:rsidR="00260A90" w:rsidRPr="000E330D" w:rsidRDefault="00260A90" w:rsidP="00260A9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E330D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ASSIGNMENT-4</w:t>
      </w:r>
      <w:r w:rsidR="000E330D" w:rsidRPr="000E330D">
        <w:rPr>
          <w:rFonts w:ascii="Times New Roman" w:hAnsi="Times New Roman" w:cs="Times New Roman"/>
          <w:b/>
          <w:bCs/>
          <w:sz w:val="40"/>
          <w:szCs w:val="40"/>
          <w:u w:val="single"/>
        </w:rPr>
        <w:t>[SECTION-01]</w:t>
      </w:r>
    </w:p>
    <w:p w14:paraId="23141F20" w14:textId="77777777" w:rsidR="00260A90" w:rsidRPr="000E330D" w:rsidRDefault="00260A90" w:rsidP="00260A9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0682BF3" w14:textId="2E3F3860" w:rsidR="00260A90" w:rsidRPr="000E330D" w:rsidRDefault="00260A90" w:rsidP="00260A9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E330D">
        <w:rPr>
          <w:rFonts w:ascii="Times New Roman" w:hAnsi="Times New Roman" w:cs="Times New Roman"/>
          <w:b/>
          <w:bCs/>
          <w:sz w:val="40"/>
          <w:szCs w:val="40"/>
        </w:rPr>
        <w:t>3. Folder Structure and Purpose of Key Files</w:t>
      </w:r>
    </w:p>
    <w:p w14:paraId="263FB878" w14:textId="77777777" w:rsidR="00D53203" w:rsidRPr="000E330D" w:rsidRDefault="00D53203" w:rsidP="00260A90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290"/>
      </w:tblGrid>
      <w:tr w:rsidR="00260A90" w:rsidRPr="000E330D" w14:paraId="647EED06" w14:textId="77777777" w:rsidTr="000E330D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065AE211" w14:textId="77777777" w:rsidR="00260A90" w:rsidRPr="000E330D" w:rsidRDefault="00260A90" w:rsidP="00376B5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File</w:t>
            </w:r>
          </w:p>
        </w:tc>
        <w:tc>
          <w:tcPr>
            <w:tcW w:w="7245" w:type="dxa"/>
            <w:vAlign w:val="center"/>
            <w:hideMark/>
          </w:tcPr>
          <w:p w14:paraId="679F474B" w14:textId="77777777" w:rsidR="00260A90" w:rsidRPr="000E330D" w:rsidRDefault="00260A90" w:rsidP="00376B5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260A90" w:rsidRPr="000E330D" w14:paraId="2EF093B6" w14:textId="77777777" w:rsidTr="000E330D">
        <w:trPr>
          <w:trHeight w:val="2220"/>
          <w:tblCellSpacing w:w="15" w:type="dxa"/>
        </w:trPr>
        <w:tc>
          <w:tcPr>
            <w:tcW w:w="2025" w:type="dxa"/>
            <w:vAlign w:val="center"/>
            <w:hideMark/>
          </w:tcPr>
          <w:p w14:paraId="7457E4C8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manage.py</w:t>
            </w:r>
          </w:p>
        </w:tc>
        <w:tc>
          <w:tcPr>
            <w:tcW w:w="7245" w:type="dxa"/>
            <w:vAlign w:val="center"/>
            <w:hideMark/>
          </w:tcPr>
          <w:p w14:paraId="348C0AF8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AF0B22F" w14:textId="3B61DDF0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A command-line utility used to manage the Django project.   It allows you to run the server, create apps, perform migrations, and execute administrative tasks.</w:t>
            </w:r>
          </w:p>
        </w:tc>
      </w:tr>
      <w:tr w:rsidR="00260A90" w:rsidRPr="000E330D" w14:paraId="34BF4D0A" w14:textId="77777777" w:rsidTr="000E330D">
        <w:trPr>
          <w:trHeight w:val="1743"/>
          <w:tblCellSpacing w:w="15" w:type="dxa"/>
        </w:trPr>
        <w:tc>
          <w:tcPr>
            <w:tcW w:w="2025" w:type="dxa"/>
            <w:vAlign w:val="center"/>
            <w:hideMark/>
          </w:tcPr>
          <w:p w14:paraId="5E5F707A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settings.py</w:t>
            </w:r>
          </w:p>
        </w:tc>
        <w:tc>
          <w:tcPr>
            <w:tcW w:w="7245" w:type="dxa"/>
            <w:vAlign w:val="center"/>
            <w:hideMark/>
          </w:tcPr>
          <w:p w14:paraId="0E6ADD7A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Contains all project settings such as installed apps, database configuration, middleware, templates, static files, security settings, and debugging options.</w:t>
            </w:r>
          </w:p>
        </w:tc>
      </w:tr>
      <w:tr w:rsidR="00260A90" w:rsidRPr="000E330D" w14:paraId="7A9769E3" w14:textId="77777777" w:rsidTr="000E330D">
        <w:trPr>
          <w:trHeight w:val="1275"/>
          <w:tblCellSpacing w:w="15" w:type="dxa"/>
        </w:trPr>
        <w:tc>
          <w:tcPr>
            <w:tcW w:w="2025" w:type="dxa"/>
            <w:vAlign w:val="center"/>
            <w:hideMark/>
          </w:tcPr>
          <w:p w14:paraId="29FB498F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urls.py</w:t>
            </w:r>
          </w:p>
        </w:tc>
        <w:tc>
          <w:tcPr>
            <w:tcW w:w="7245" w:type="dxa"/>
            <w:vAlign w:val="center"/>
            <w:hideMark/>
          </w:tcPr>
          <w:p w14:paraId="2841AD05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Defines the URL routes for the project. It maps web addresses (URLs) to the corresponding Django views.</w:t>
            </w:r>
          </w:p>
        </w:tc>
      </w:tr>
      <w:tr w:rsidR="00260A90" w:rsidRPr="000E330D" w14:paraId="6B4FF107" w14:textId="77777777" w:rsidTr="000E330D">
        <w:trPr>
          <w:trHeight w:val="1833"/>
          <w:tblCellSpacing w:w="15" w:type="dxa"/>
        </w:trPr>
        <w:tc>
          <w:tcPr>
            <w:tcW w:w="2025" w:type="dxa"/>
            <w:vAlign w:val="center"/>
            <w:hideMark/>
          </w:tcPr>
          <w:p w14:paraId="1DC617D6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wsgi.py</w:t>
            </w:r>
          </w:p>
        </w:tc>
        <w:tc>
          <w:tcPr>
            <w:tcW w:w="7245" w:type="dxa"/>
            <w:vAlign w:val="center"/>
            <w:hideMark/>
          </w:tcPr>
          <w:p w14:paraId="538D35A6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 xml:space="preserve">Provides an entry point for WSGI-compatible web servers such as </w:t>
            </w:r>
            <w:proofErr w:type="spellStart"/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Gunicorn</w:t>
            </w:r>
            <w:proofErr w:type="spellEnd"/>
            <w:r w:rsidRPr="000E330D">
              <w:rPr>
                <w:rFonts w:ascii="Times New Roman" w:hAnsi="Times New Roman" w:cs="Times New Roman"/>
                <w:sz w:val="32"/>
                <w:szCs w:val="32"/>
              </w:rPr>
              <w:t xml:space="preserve"> or Apache. It is mainly used when deploying Django applications.</w:t>
            </w:r>
          </w:p>
        </w:tc>
      </w:tr>
      <w:tr w:rsidR="00260A90" w:rsidRPr="000E330D" w14:paraId="69359FE5" w14:textId="77777777" w:rsidTr="000E330D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4DE7D92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asgi.py</w:t>
            </w:r>
          </w:p>
        </w:tc>
        <w:tc>
          <w:tcPr>
            <w:tcW w:w="7245" w:type="dxa"/>
            <w:vAlign w:val="center"/>
            <w:hideMark/>
          </w:tcPr>
          <w:p w14:paraId="168436C3" w14:textId="77777777" w:rsidR="00260A90" w:rsidRPr="000E330D" w:rsidRDefault="00260A90" w:rsidP="00260A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 xml:space="preserve">Provides an entry point for ASGI servers like </w:t>
            </w:r>
            <w:proofErr w:type="spellStart"/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Uvicorn</w:t>
            </w:r>
            <w:proofErr w:type="spellEnd"/>
            <w:r w:rsidRPr="000E330D">
              <w:rPr>
                <w:rFonts w:ascii="Times New Roman" w:hAnsi="Times New Roman" w:cs="Times New Roman"/>
                <w:sz w:val="32"/>
                <w:szCs w:val="32"/>
              </w:rPr>
              <w:t xml:space="preserve"> or Daphne. It supports asynchronous features such as </w:t>
            </w:r>
            <w:proofErr w:type="spellStart"/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WebSockets</w:t>
            </w:r>
            <w:proofErr w:type="spellEnd"/>
            <w:r w:rsidRPr="000E330D">
              <w:rPr>
                <w:rFonts w:ascii="Times New Roman" w:hAnsi="Times New Roman" w:cs="Times New Roman"/>
                <w:sz w:val="32"/>
                <w:szCs w:val="32"/>
              </w:rPr>
              <w:t xml:space="preserve"> and real-time applications.</w:t>
            </w:r>
          </w:p>
        </w:tc>
      </w:tr>
    </w:tbl>
    <w:p w14:paraId="25252925" w14:textId="491FBADE" w:rsidR="00D53203" w:rsidRPr="000E330D" w:rsidRDefault="00D53203" w:rsidP="00260A90">
      <w:pPr>
        <w:rPr>
          <w:rFonts w:ascii="Times New Roman" w:hAnsi="Times New Roman" w:cs="Times New Roman"/>
          <w:sz w:val="32"/>
          <w:szCs w:val="32"/>
        </w:rPr>
      </w:pPr>
    </w:p>
    <w:p w14:paraId="6150BC06" w14:textId="112E51C6" w:rsidR="00D53203" w:rsidRPr="000E330D" w:rsidRDefault="00BF18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E330D">
        <w:rPr>
          <w:rFonts w:ascii="Times New Roman" w:hAnsi="Times New Roman" w:cs="Times New Roman"/>
          <w:b/>
          <w:bCs/>
          <w:sz w:val="40"/>
          <w:szCs w:val="40"/>
        </w:rPr>
        <w:lastRenderedPageBreak/>
        <w:t>4. Comparison Betwe</w:t>
      </w:r>
      <w:bookmarkStart w:id="0" w:name="_GoBack"/>
      <w:bookmarkEnd w:id="0"/>
      <w:r w:rsidRPr="000E330D">
        <w:rPr>
          <w:rFonts w:ascii="Times New Roman" w:hAnsi="Times New Roman" w:cs="Times New Roman"/>
          <w:b/>
          <w:bCs/>
          <w:sz w:val="40"/>
          <w:szCs w:val="40"/>
        </w:rPr>
        <w:t>en Django and Flask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789"/>
      </w:tblGrid>
      <w:tr w:rsidR="00BF1810" w:rsidRPr="000E330D" w14:paraId="112FD3C7" w14:textId="77777777" w:rsidTr="000E3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74D6" w14:textId="77777777" w:rsidR="00BF1810" w:rsidRPr="000E330D" w:rsidRDefault="00BF1810" w:rsidP="00BF181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75DBED69" w14:textId="77777777" w:rsidR="00BF1810" w:rsidRPr="000E330D" w:rsidRDefault="00BF1810" w:rsidP="00BF181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Flask</w:t>
            </w:r>
          </w:p>
        </w:tc>
      </w:tr>
      <w:tr w:rsidR="00BF1810" w:rsidRPr="000E330D" w14:paraId="266F2E03" w14:textId="77777777" w:rsidTr="000E330D">
        <w:trPr>
          <w:trHeight w:val="2166"/>
          <w:tblCellSpacing w:w="15" w:type="dxa"/>
        </w:trPr>
        <w:tc>
          <w:tcPr>
            <w:tcW w:w="0" w:type="auto"/>
            <w:vAlign w:val="center"/>
            <w:hideMark/>
          </w:tcPr>
          <w:p w14:paraId="72DC2BDE" w14:textId="77777777" w:rsidR="00BF1810" w:rsidRPr="000E330D" w:rsidRDefault="00BF1810" w:rsidP="00BF181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A full-featured web framework with many built-in tools like authentication, admin panel, and ORM.</w:t>
            </w:r>
          </w:p>
        </w:tc>
        <w:tc>
          <w:tcPr>
            <w:tcW w:w="0" w:type="auto"/>
            <w:vAlign w:val="center"/>
            <w:hideMark/>
          </w:tcPr>
          <w:p w14:paraId="038BD4CB" w14:textId="77777777" w:rsidR="00BF1810" w:rsidRPr="000E330D" w:rsidRDefault="00BF1810" w:rsidP="00BF181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A lightweight web framework that provides only the essentials, allowing developers to choose additional libraries.</w:t>
            </w:r>
          </w:p>
        </w:tc>
      </w:tr>
      <w:tr w:rsidR="00BF1810" w:rsidRPr="000E330D" w14:paraId="78C590E9" w14:textId="77777777" w:rsidTr="000E330D">
        <w:trPr>
          <w:trHeight w:val="1374"/>
          <w:tblCellSpacing w:w="15" w:type="dxa"/>
        </w:trPr>
        <w:tc>
          <w:tcPr>
            <w:tcW w:w="0" w:type="auto"/>
            <w:vAlign w:val="center"/>
            <w:hideMark/>
          </w:tcPr>
          <w:p w14:paraId="124500C2" w14:textId="77777777" w:rsidR="00BF1810" w:rsidRPr="000E330D" w:rsidRDefault="00BF1810" w:rsidP="00BF181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Best for large, complex web applications.</w:t>
            </w:r>
          </w:p>
        </w:tc>
        <w:tc>
          <w:tcPr>
            <w:tcW w:w="0" w:type="auto"/>
            <w:vAlign w:val="center"/>
            <w:hideMark/>
          </w:tcPr>
          <w:p w14:paraId="7C3AD9E1" w14:textId="77777777" w:rsidR="00BF1810" w:rsidRPr="000E330D" w:rsidRDefault="00BF1810" w:rsidP="00BF181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Best for small projects, APIs, and prototypes.</w:t>
            </w:r>
          </w:p>
        </w:tc>
      </w:tr>
      <w:tr w:rsidR="00BF1810" w:rsidRPr="000E330D" w14:paraId="2D97BEED" w14:textId="77777777" w:rsidTr="000E33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245E" w14:textId="77777777" w:rsidR="00BF1810" w:rsidRPr="000E330D" w:rsidRDefault="00BF1810" w:rsidP="00BF181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Follows the "batteries-included" approach.</w:t>
            </w:r>
          </w:p>
        </w:tc>
        <w:tc>
          <w:tcPr>
            <w:tcW w:w="0" w:type="auto"/>
            <w:vAlign w:val="center"/>
            <w:hideMark/>
          </w:tcPr>
          <w:p w14:paraId="33610F61" w14:textId="77777777" w:rsidR="00BF1810" w:rsidRPr="000E330D" w:rsidRDefault="00BF1810" w:rsidP="00BF181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330D">
              <w:rPr>
                <w:rFonts w:ascii="Times New Roman" w:hAnsi="Times New Roman" w:cs="Times New Roman"/>
                <w:sz w:val="32"/>
                <w:szCs w:val="32"/>
              </w:rPr>
              <w:t>Offers more flexibility and simplicity.</w:t>
            </w:r>
          </w:p>
        </w:tc>
      </w:tr>
    </w:tbl>
    <w:p w14:paraId="375FFA26" w14:textId="77777777" w:rsidR="00BF1810" w:rsidRPr="000E330D" w:rsidRDefault="00BF1810">
      <w:pPr>
        <w:rPr>
          <w:rFonts w:ascii="Times New Roman" w:hAnsi="Times New Roman" w:cs="Times New Roman"/>
          <w:sz w:val="32"/>
          <w:szCs w:val="32"/>
        </w:rPr>
      </w:pPr>
    </w:p>
    <w:p w14:paraId="1091EC37" w14:textId="77777777" w:rsidR="00260A90" w:rsidRPr="000E330D" w:rsidRDefault="00260A90" w:rsidP="00260A90">
      <w:pPr>
        <w:rPr>
          <w:rFonts w:ascii="Times New Roman" w:hAnsi="Times New Roman" w:cs="Times New Roman"/>
          <w:sz w:val="32"/>
          <w:szCs w:val="32"/>
        </w:rPr>
      </w:pPr>
    </w:p>
    <w:sectPr w:rsidR="00260A90" w:rsidRPr="000E3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A90"/>
    <w:rsid w:val="000E330D"/>
    <w:rsid w:val="00260A90"/>
    <w:rsid w:val="00376B5C"/>
    <w:rsid w:val="00AE3819"/>
    <w:rsid w:val="00BF1810"/>
    <w:rsid w:val="00D4276E"/>
    <w:rsid w:val="00D53203"/>
    <w:rsid w:val="00FB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E3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9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Karena</dc:creator>
  <cp:lastModifiedBy>Meera</cp:lastModifiedBy>
  <cp:revision>2</cp:revision>
  <dcterms:created xsi:type="dcterms:W3CDTF">2026-07-10T08:56:00Z</dcterms:created>
  <dcterms:modified xsi:type="dcterms:W3CDTF">2026-07-10T08:56:00Z</dcterms:modified>
</cp:coreProperties>
</file>