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Exploratory Data Quality, Missingness, and Feature-Engineering Assessment of NHANES August 2021–August 2023 Demographic Data</w:t>
      </w:r>
    </w:p>
    <w:p>
      <w:pPr>
        <w:jc w:val="center"/>
      </w:pPr>
      <w:r>
        <w:rPr>
          <w:b/>
          <w:sz w:val="26"/>
        </w:rPr>
        <w:t>DEMO_L — Demographic Variables and Sample Weights</w:t>
        <w:br/>
      </w:r>
      <w:r>
        <w:t>A methodological report for the MIR Medical Intelligence research program</w:t>
      </w:r>
    </w:p>
    <w:p>
      <w:pPr>
        <w:jc w:val="center"/>
      </w:pPr>
      <w:r>
        <w:br/>
        <w:t>Prepared from the NHANES DEMO_L documentation and the supplied exploratory analysis</w:t>
        <w:br/>
      </w:r>
      <w:r>
        <w:t>Research team: Mir AbdulRehman and Sababa Ateeq</w:t>
        <w:br/>
      </w:r>
      <w:r>
        <w:t>Version: Preliminary Research Analysis Report — September 2026</w:t>
      </w:r>
    </w:p>
    <w:p/>
    <w:tbl>
      <w:tblPr>
        <w:tblW w:type="auto" w:w="0"/>
        <w:jc w:val="center"/>
        <w:tblLook w:firstColumn="1" w:firstRow="1" w:lastColumn="0" w:lastRow="0" w:noHBand="0" w:noVBand="1" w:val="04A0"/>
      </w:tblPr>
      <w:tblGrid>
        <w:gridCol w:w="10080"/>
      </w:tblGrid>
      <w:tr>
        <w:trPr>
          <w:cantSplit/>
        </w:trPr>
        <w:tc>
          <w:tcPr>
            <w:tcW w:type="dxa" w:w="10080"/>
            <w:shd w:fill="EEF4F8"/>
          </w:tcPr>
          <w:p>
            <w:r>
              <w:rPr>
                <w:b/>
                <w:sz w:val="20"/>
              </w:rPr>
              <w:t>Scope note</w:t>
            </w:r>
          </w:p>
          <w:p>
            <w:pPr>
              <w:spacing w:after="0"/>
            </w:pPr>
            <w:r>
              <w:rPr>
                <w:sz w:val="18"/>
              </w:rPr>
              <w:t>This report is an exploratory methodological assessment, not a clinical study and not evidence that MIR Medical Intelligence can diagnose disease. The numerical EDA results are those supplied by the research team. Interpretations of variable meaning, eligibility, coding, weights, and survey design are grounded in the supplied NHANES DEMO_L codebook. Recommendations about modeling and imputation are methodological proposals to be validated empirically.</w:t>
            </w:r>
          </w:p>
        </w:tc>
      </w:tr>
    </w:tbl>
    <w:p>
      <w:r>
        <w:br w:type="page"/>
      </w:r>
    </w:p>
    <w:p>
      <w:pPr>
        <w:pStyle w:val="Heading1"/>
      </w:pPr>
      <w:r>
        <w:t>Abstract</w:t>
      </w:r>
    </w:p>
    <w:p>
      <w:r>
        <w:t>This report evaluates the structure, completeness, coding behavior, survey-design variables, and modeling implications of the National Health and Nutrition Examination Survey (NHANES) August 2021–August 2023 Demographic Variables and Sample Weights file (DEMO_L). The supplied exploratory analysis contains 11,933 participant records and 27 columns. Fifteen columns contain raw null values, while twelve are complete. Nine columns have raw null rates above 50%. The analysis demonstrates, however, that raw null percentage is not a sufficient description of missingness in NHANES. Many apparent missing values are structurally expected because variables apply only to specific age groups, sex groups, examination participants, or children, while several variables also contain coded responses such as Refused or Don't know and several continuous-looking variables are top-coded. The report therefore recommends a missingness-aware representation in which observed values, non-applicability, non-participation, refusal/don't-know, censored values, and unavailable observations are retained as distinct states. For MIR Medical Intelligence, blanket imputation of all missing values is rejected. A staged strategy is recommended: preserve raw fields, normalize special codes, generate applicability/status masks, use complete-case analyses only as sensitivity baselines, compare native missing-value models with carefully cross-validated imputation approaches, and incorporate NHANES survey design into inferential analyses. The report also classifies DEMO_L variables into identifiers, survey-design metadata, core demographic predictors, subgroup/context variables, and variables that should not enter a general predictive feature matrix.</w:t>
      </w:r>
    </w:p>
    <w:p>
      <w:pPr>
        <w:pStyle w:val="Heading2"/>
      </w:pPr>
      <w:r>
        <w:t>Keywords</w:t>
      </w:r>
    </w:p>
    <w:p>
      <w:r>
        <w:t>NHANES; DEMO_L; missing data; missingness mechanism; data preprocessing; medical AI; survey weights; feature engineering; imputation; clinical intelligence; reproducible research</w:t>
      </w:r>
    </w:p>
    <w:p>
      <w:pPr>
        <w:pStyle w:val="Heading1"/>
      </w:pPr>
      <w:r>
        <w:t>1. Executive Summary</w:t>
      </w:r>
    </w:p>
    <w:p>
      <w:r>
        <w:t>The first exploratory analysis of DEMO_L is a useful methodological milestone for MIR because it exposes a core property of real medical datasets: the distinction between an absent number and an absent observation. The dataset is not a simple rectangular matrix in which every blank represents the same phenomenon. NHANES documentation defines variable-specific target populations, examination participation rules, disclosure protections, and special response codes. Consequently, the correct research object is not merely a value matrix X, but a value-and-status representation in which each feature has an associated availability state.</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D9E2F3"/>
          </w:tcPr>
          <w:p>
            <w:r/>
            <w:r>
              <w:rPr>
                <w:rFonts w:ascii="Aptos" w:hAnsi="Aptos"/>
                <w:b/>
                <w:sz w:val="16"/>
              </w:rPr>
              <w:t>Finding</w:t>
            </w:r>
          </w:p>
        </w:tc>
        <w:tc>
          <w:tcPr>
            <w:tcW w:type="dxa" w:w="3360"/>
            <w:vAlign w:val="center"/>
            <w:shd w:fill="D9E2F3"/>
          </w:tcPr>
          <w:p>
            <w:r/>
            <w:r>
              <w:rPr>
                <w:rFonts w:ascii="Aptos" w:hAnsi="Aptos"/>
                <w:b/>
                <w:sz w:val="16"/>
              </w:rPr>
              <w:t>Evidence from supplied EDA / codebook</w:t>
            </w:r>
          </w:p>
        </w:tc>
        <w:tc>
          <w:tcPr>
            <w:tcW w:type="dxa" w:w="3360"/>
            <w:vAlign w:val="center"/>
            <w:shd w:fill="D9E2F3"/>
          </w:tcPr>
          <w:p>
            <w:r/>
            <w:r>
              <w:rPr>
                <w:rFonts w:ascii="Aptos" w:hAnsi="Aptos"/>
                <w:b/>
                <w:sz w:val="16"/>
              </w:rPr>
              <w:t>Implication for MIR</w:t>
            </w:r>
          </w:p>
        </w:tc>
      </w:tr>
      <w:tr>
        <w:trPr>
          <w:cantSplit/>
        </w:trPr>
        <w:tc>
          <w:tcPr>
            <w:tcW w:type="dxa" w:w="3360"/>
            <w:vAlign w:val="center"/>
          </w:tcPr>
          <w:p>
            <w:r/>
            <w:r>
              <w:rPr>
                <w:rFonts w:ascii="Aptos" w:hAnsi="Aptos"/>
                <w:b w:val="0"/>
                <w:sz w:val="16"/>
              </w:rPr>
              <w:t>Dataset size</w:t>
            </w:r>
          </w:p>
        </w:tc>
        <w:tc>
          <w:tcPr>
            <w:tcW w:type="dxa" w:w="3360"/>
            <w:vAlign w:val="center"/>
          </w:tcPr>
          <w:p>
            <w:r/>
            <w:r>
              <w:rPr>
                <w:rFonts w:ascii="Aptos" w:hAnsi="Aptos"/>
                <w:b w:val="0"/>
                <w:sz w:val="16"/>
              </w:rPr>
              <w:t>11,933 participants; 27 columns</w:t>
            </w:r>
          </w:p>
        </w:tc>
        <w:tc>
          <w:tcPr>
            <w:tcW w:type="dxa" w:w="3360"/>
            <w:vAlign w:val="center"/>
          </w:tcPr>
          <w:p>
            <w:r/>
            <w:r>
              <w:rPr>
                <w:rFonts w:ascii="Aptos" w:hAnsi="Aptos"/>
                <w:b w:val="0"/>
                <w:sz w:val="16"/>
              </w:rPr>
              <w:t>Suitable for a first data-engineering and missingness study.</w:t>
            </w:r>
          </w:p>
        </w:tc>
      </w:tr>
      <w:tr>
        <w:trPr>
          <w:cantSplit/>
        </w:trPr>
        <w:tc>
          <w:tcPr>
            <w:tcW w:type="dxa" w:w="3360"/>
            <w:vAlign w:val="center"/>
          </w:tcPr>
          <w:p>
            <w:r/>
            <w:r>
              <w:rPr>
                <w:rFonts w:ascii="Aptos" w:hAnsi="Aptos"/>
                <w:b w:val="0"/>
                <w:sz w:val="16"/>
              </w:rPr>
              <w:t>Raw completeness</w:t>
            </w:r>
          </w:p>
        </w:tc>
        <w:tc>
          <w:tcPr>
            <w:tcW w:type="dxa" w:w="3360"/>
            <w:vAlign w:val="center"/>
          </w:tcPr>
          <w:p>
            <w:r/>
            <w:r>
              <w:rPr>
                <w:rFonts w:ascii="Aptos" w:hAnsi="Aptos"/>
                <w:b w:val="0"/>
                <w:sz w:val="16"/>
              </w:rPr>
              <w:t>12/27 complete; 15/27 contain nulls</w:t>
            </w:r>
          </w:p>
        </w:tc>
        <w:tc>
          <w:tcPr>
            <w:tcW w:type="dxa" w:w="3360"/>
            <w:vAlign w:val="center"/>
          </w:tcPr>
          <w:p>
            <w:r/>
            <w:r>
              <w:rPr>
                <w:rFonts w:ascii="Aptos" w:hAnsi="Aptos"/>
                <w:b w:val="0"/>
                <w:sz w:val="16"/>
              </w:rPr>
              <w:t>Missingness is common and should be studied before modeling.</w:t>
            </w:r>
          </w:p>
        </w:tc>
      </w:tr>
      <w:tr>
        <w:trPr>
          <w:cantSplit/>
        </w:trPr>
        <w:tc>
          <w:tcPr>
            <w:tcW w:type="dxa" w:w="3360"/>
            <w:vAlign w:val="center"/>
          </w:tcPr>
          <w:p>
            <w:r/>
            <w:r>
              <w:rPr>
                <w:rFonts w:ascii="Aptos" w:hAnsi="Aptos"/>
                <w:b w:val="0"/>
                <w:sz w:val="16"/>
              </w:rPr>
              <w:t>&gt;50% raw null rate</w:t>
            </w:r>
          </w:p>
        </w:tc>
        <w:tc>
          <w:tcPr>
            <w:tcW w:type="dxa" w:w="3360"/>
            <w:vAlign w:val="center"/>
          </w:tcPr>
          <w:p>
            <w:r/>
            <w:r>
              <w:rPr>
                <w:rFonts w:ascii="Aptos" w:hAnsi="Aptos"/>
                <w:b w:val="0"/>
                <w:sz w:val="16"/>
              </w:rPr>
              <w:t>9/27 variables</w:t>
            </w:r>
          </w:p>
        </w:tc>
        <w:tc>
          <w:tcPr>
            <w:tcW w:type="dxa" w:w="3360"/>
            <w:vAlign w:val="center"/>
          </w:tcPr>
          <w:p>
            <w:r/>
            <w:r>
              <w:rPr>
                <w:rFonts w:ascii="Aptos" w:hAnsi="Aptos"/>
                <w:b w:val="0"/>
                <w:sz w:val="16"/>
              </w:rPr>
              <w:t>High null rates often reflect structural eligibility, not poor data quality.</w:t>
            </w:r>
          </w:p>
        </w:tc>
      </w:tr>
      <w:tr>
        <w:trPr>
          <w:cantSplit/>
        </w:trPr>
        <w:tc>
          <w:tcPr>
            <w:tcW w:type="dxa" w:w="3360"/>
            <w:vAlign w:val="center"/>
          </w:tcPr>
          <w:p>
            <w:r/>
            <w:r>
              <w:rPr>
                <w:rFonts w:ascii="Aptos" w:hAnsi="Aptos"/>
                <w:b w:val="0"/>
                <w:sz w:val="16"/>
              </w:rPr>
              <w:t>MEC participation</w:t>
            </w:r>
          </w:p>
        </w:tc>
        <w:tc>
          <w:tcPr>
            <w:tcW w:type="dxa" w:w="3360"/>
            <w:vAlign w:val="center"/>
          </w:tcPr>
          <w:p>
            <w:r/>
            <w:r>
              <w:rPr>
                <w:rFonts w:ascii="Aptos" w:hAnsi="Aptos"/>
                <w:b w:val="0"/>
                <w:sz w:val="16"/>
              </w:rPr>
              <w:t>8,860 examined; 3,073 interview-only</w:t>
            </w:r>
          </w:p>
        </w:tc>
        <w:tc>
          <w:tcPr>
            <w:tcW w:type="dxa" w:w="3360"/>
            <w:vAlign w:val="center"/>
          </w:tcPr>
          <w:p>
            <w:r/>
            <w:r>
              <w:rPr>
                <w:rFonts w:ascii="Aptos" w:hAnsi="Aptos"/>
                <w:b w:val="0"/>
                <w:sz w:val="16"/>
              </w:rPr>
              <w:t>Examination-dependent fields must not be globally imputed.</w:t>
            </w:r>
          </w:p>
        </w:tc>
      </w:tr>
      <w:tr>
        <w:trPr>
          <w:cantSplit/>
        </w:trPr>
        <w:tc>
          <w:tcPr>
            <w:tcW w:type="dxa" w:w="3360"/>
            <w:vAlign w:val="center"/>
          </w:tcPr>
          <w:p>
            <w:r/>
            <w:r>
              <w:rPr>
                <w:rFonts w:ascii="Aptos" w:hAnsi="Aptos"/>
                <w:b w:val="0"/>
                <w:sz w:val="16"/>
              </w:rPr>
              <w:t>Pediatric variables</w:t>
            </w:r>
          </w:p>
        </w:tc>
        <w:tc>
          <w:tcPr>
            <w:tcW w:type="dxa" w:w="3360"/>
            <w:vAlign w:val="center"/>
          </w:tcPr>
          <w:p>
            <w:r/>
            <w:r>
              <w:rPr>
                <w:rFonts w:ascii="Aptos" w:hAnsi="Aptos"/>
                <w:b w:val="0"/>
                <w:sz w:val="16"/>
              </w:rPr>
              <w:t>RIDAGEMN/RIDEXAGM and household-reference fields are age-specific</w:t>
            </w:r>
          </w:p>
        </w:tc>
        <w:tc>
          <w:tcPr>
            <w:tcW w:type="dxa" w:w="3360"/>
            <w:vAlign w:val="center"/>
          </w:tcPr>
          <w:p>
            <w:r/>
            <w:r>
              <w:rPr>
                <w:rFonts w:ascii="Aptos" w:hAnsi="Aptos"/>
                <w:b w:val="0"/>
                <w:sz w:val="16"/>
              </w:rPr>
              <w:t>Use applicability masks and age-stratified feature sets.</w:t>
            </w:r>
          </w:p>
        </w:tc>
      </w:tr>
      <w:tr>
        <w:trPr>
          <w:cantSplit/>
        </w:trPr>
        <w:tc>
          <w:tcPr>
            <w:tcW w:type="dxa" w:w="3360"/>
            <w:vAlign w:val="center"/>
          </w:tcPr>
          <w:p>
            <w:r/>
            <w:r>
              <w:rPr>
                <w:rFonts w:ascii="Aptos" w:hAnsi="Aptos"/>
                <w:b w:val="0"/>
                <w:sz w:val="16"/>
              </w:rPr>
              <w:t>Special codes</w:t>
            </w:r>
          </w:p>
        </w:tc>
        <w:tc>
          <w:tcPr>
            <w:tcW w:type="dxa" w:w="3360"/>
            <w:vAlign w:val="center"/>
          </w:tcPr>
          <w:p>
            <w:r/>
            <w:r>
              <w:rPr>
                <w:rFonts w:ascii="Aptos" w:hAnsi="Aptos"/>
                <w:b w:val="0"/>
                <w:sz w:val="16"/>
              </w:rPr>
              <w:t>Examples include 7/9 or 77/99 for Refused/Don't know</w:t>
            </w:r>
          </w:p>
        </w:tc>
        <w:tc>
          <w:tcPr>
            <w:tcW w:type="dxa" w:w="3360"/>
            <w:vAlign w:val="center"/>
          </w:tcPr>
          <w:p>
            <w:r/>
            <w:r>
              <w:rPr>
                <w:rFonts w:ascii="Aptos" w:hAnsi="Aptos"/>
                <w:b w:val="0"/>
                <w:sz w:val="16"/>
              </w:rPr>
              <w:t>Normalize codes before statistical summaries; retain response-status metadata.</w:t>
            </w:r>
          </w:p>
        </w:tc>
      </w:tr>
      <w:tr>
        <w:trPr>
          <w:cantSplit/>
        </w:trPr>
        <w:tc>
          <w:tcPr>
            <w:tcW w:type="dxa" w:w="3360"/>
            <w:vAlign w:val="center"/>
          </w:tcPr>
          <w:p>
            <w:r/>
            <w:r>
              <w:rPr>
                <w:rFonts w:ascii="Aptos" w:hAnsi="Aptos"/>
                <w:b w:val="0"/>
                <w:sz w:val="16"/>
              </w:rPr>
              <w:t>Censoring</w:t>
            </w:r>
          </w:p>
        </w:tc>
        <w:tc>
          <w:tcPr>
            <w:tcW w:type="dxa" w:w="3360"/>
            <w:vAlign w:val="center"/>
          </w:tcPr>
          <w:p>
            <w:r/>
            <w:r>
              <w:rPr>
                <w:rFonts w:ascii="Aptos" w:hAnsi="Aptos"/>
                <w:b w:val="0"/>
                <w:sz w:val="16"/>
              </w:rPr>
              <w:t>RIDAGEYR top-coded at 80; INDFMPIR top-coded at &gt;=5</w:t>
            </w:r>
          </w:p>
        </w:tc>
        <w:tc>
          <w:tcPr>
            <w:tcW w:type="dxa" w:w="3360"/>
            <w:vAlign w:val="center"/>
          </w:tcPr>
          <w:p>
            <w:r/>
            <w:r>
              <w:rPr>
                <w:rFonts w:ascii="Aptos" w:hAnsi="Aptos"/>
                <w:b w:val="0"/>
                <w:sz w:val="16"/>
              </w:rPr>
              <w:t>Do not treat the top code as an exact continuous value.</w:t>
            </w:r>
          </w:p>
        </w:tc>
      </w:tr>
      <w:tr>
        <w:trPr>
          <w:cantSplit/>
        </w:trPr>
        <w:tc>
          <w:tcPr>
            <w:tcW w:type="dxa" w:w="3360"/>
            <w:vAlign w:val="center"/>
          </w:tcPr>
          <w:p>
            <w:r/>
            <w:r>
              <w:rPr>
                <w:rFonts w:ascii="Aptos" w:hAnsi="Aptos"/>
                <w:b w:val="0"/>
                <w:sz w:val="16"/>
              </w:rPr>
              <w:t>Survey design</w:t>
            </w:r>
          </w:p>
        </w:tc>
        <w:tc>
          <w:tcPr>
            <w:tcW w:type="dxa" w:w="3360"/>
            <w:vAlign w:val="center"/>
          </w:tcPr>
          <w:p>
            <w:r/>
            <w:r>
              <w:rPr>
                <w:rFonts w:ascii="Aptos" w:hAnsi="Aptos"/>
                <w:b w:val="0"/>
                <w:sz w:val="16"/>
              </w:rPr>
              <w:t>WTINT2YR, WTMEC2YR, SDMVSTRA, SDMVPSU</w:t>
            </w:r>
          </w:p>
        </w:tc>
        <w:tc>
          <w:tcPr>
            <w:tcW w:type="dxa" w:w="3360"/>
            <w:vAlign w:val="center"/>
          </w:tcPr>
          <w:p>
            <w:r/>
            <w:r>
              <w:rPr>
                <w:rFonts w:ascii="Aptos" w:hAnsi="Aptos"/>
                <w:b w:val="0"/>
                <w:sz w:val="16"/>
              </w:rPr>
              <w:t>Preserve design variables; use appropriate weights for inferential analyses.</w:t>
            </w:r>
          </w:p>
        </w:tc>
      </w:tr>
    </w:tbl>
    <w:p>
      <w:pPr>
        <w:pStyle w:val="Heading1"/>
      </w:pPr>
      <w:r>
        <w:t>2. Data Source and Documentation Basis</w:t>
      </w:r>
    </w:p>
    <w:p>
      <w:r>
        <w:t>DEMO_L is the NHANES August 2021–August 2023 public-use demographic and sample-weight file. The supplied codebook states that the cycle resumed data collection in August 2021 after the COVID-19 interruption and used an updated sample design and modified interview/examination procedures. The file includes household interview and examination status, interview and examination sample weights, masked variance units, the examination six-month period, pregnancy status, family income-to-poverty ratio, household size, household-reference-person information for youth, and selected demographic variables. The public-use file contains 11,933 participant records.</w:t>
      </w:r>
    </w:p>
    <w:p>
      <w:r>
        <w:t>The official NHANES 2021–2023 analytic guidance also emphasizes that survey weights address selection probability, nonresponse, and coverage bias; that this cycle changed some sampling and data-collection procedures because of the pandemic; and that an additional phlebotomy weight is provided for analyses of blood analytes. These design issues are relevant to MIR because later laboratory analyses will not necessarily have the same eligible population or weight as DEMO_L.</w:t>
      </w:r>
    </w:p>
    <w:p>
      <w:pPr>
        <w:pStyle w:val="Heading2"/>
      </w:pPr>
      <w:r>
        <w:t>2.1 Unit of analysis and linkage</w:t>
      </w:r>
    </w:p>
    <w:p>
      <w:r>
        <w:t>The principal participant-level linkage key is SEQN (respondent sequence number). DEMO_L is therefore the natural anchor table for a future integrated NHANES analytical dataset. The master integration layer should retain SEQN as an identifier rather than as a predictive numerical feature.</w:t>
      </w:r>
    </w:p>
    <w:p>
      <w:pPr>
        <w:pStyle w:val="Heading2"/>
      </w:pPr>
      <w:r>
        <w:t>2.2 Provenance and data-status principle</w:t>
      </w:r>
    </w:p>
    <w:tbl>
      <w:tblPr>
        <w:tblW w:type="auto" w:w="0"/>
        <w:jc w:val="center"/>
        <w:tblLook w:firstColumn="1" w:firstRow="1" w:lastColumn="0" w:lastRow="0" w:noHBand="0" w:noVBand="1" w:val="04A0"/>
      </w:tblPr>
      <w:tblGrid>
        <w:gridCol w:w="10080"/>
      </w:tblGrid>
      <w:tr>
        <w:trPr>
          <w:cantSplit/>
        </w:trPr>
        <w:tc>
          <w:tcPr>
            <w:tcW w:type="dxa" w:w="10080"/>
            <w:shd w:fill="EEF4F8"/>
          </w:tcPr>
          <w:p>
            <w:r>
              <w:rPr>
                <w:b/>
                <w:sz w:val="20"/>
              </w:rPr>
              <w:t>MIR rule</w:t>
            </w:r>
          </w:p>
          <w:p>
            <w:pPr>
              <w:spacing w:after="0"/>
            </w:pPr>
            <w:r>
              <w:rPr>
                <w:sz w:val="18"/>
              </w:rPr>
              <w:t>A raw NHANES value, a derived feature, an imputed value, and a design variable should never be conflated. Every transformed field should retain provenance to the original variable and transformation step.</w:t>
            </w:r>
          </w:p>
        </w:tc>
      </w:tr>
    </w:tbl>
    <w:p>
      <w:pPr>
        <w:pStyle w:val="Heading1"/>
      </w:pPr>
      <w:r>
        <w:t>3. Exploratory Data Analysis Results</w:t>
      </w:r>
    </w:p>
    <w:p>
      <w:pPr>
        <w:pStyle w:val="Heading2"/>
      </w:pPr>
      <w:r>
        <w:t>3.1 Structural overview</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D9E2F3"/>
          </w:tcPr>
          <w:p>
            <w:r/>
            <w:r>
              <w:rPr>
                <w:rFonts w:ascii="Aptos" w:hAnsi="Aptos"/>
                <w:b/>
                <w:sz w:val="16"/>
              </w:rPr>
              <w:t>Measure</w:t>
            </w:r>
          </w:p>
        </w:tc>
        <w:tc>
          <w:tcPr>
            <w:tcW w:type="dxa" w:w="5040"/>
            <w:vAlign w:val="center"/>
            <w:shd w:fill="D9E2F3"/>
          </w:tcPr>
          <w:p>
            <w:r/>
            <w:r>
              <w:rPr>
                <w:rFonts w:ascii="Aptos" w:hAnsi="Aptos"/>
                <w:b/>
                <w:sz w:val="16"/>
              </w:rPr>
              <w:t>Result</w:t>
            </w:r>
          </w:p>
        </w:tc>
      </w:tr>
      <w:tr>
        <w:trPr>
          <w:cantSplit/>
        </w:trPr>
        <w:tc>
          <w:tcPr>
            <w:tcW w:type="dxa" w:w="5040"/>
            <w:vAlign w:val="center"/>
          </w:tcPr>
          <w:p>
            <w:r/>
            <w:r>
              <w:rPr>
                <w:rFonts w:ascii="Aptos" w:hAnsi="Aptos"/>
                <w:b w:val="0"/>
                <w:sz w:val="16"/>
              </w:rPr>
              <w:t>Rows / participants</w:t>
            </w:r>
          </w:p>
        </w:tc>
        <w:tc>
          <w:tcPr>
            <w:tcW w:type="dxa" w:w="5040"/>
            <w:vAlign w:val="center"/>
          </w:tcPr>
          <w:p>
            <w:r/>
            <w:r>
              <w:rPr>
                <w:rFonts w:ascii="Aptos" w:hAnsi="Aptos"/>
                <w:b w:val="0"/>
                <w:sz w:val="16"/>
              </w:rPr>
              <w:t>11,933</w:t>
            </w:r>
          </w:p>
        </w:tc>
      </w:tr>
      <w:tr>
        <w:trPr>
          <w:cantSplit/>
        </w:trPr>
        <w:tc>
          <w:tcPr>
            <w:tcW w:type="dxa" w:w="5040"/>
            <w:vAlign w:val="center"/>
          </w:tcPr>
          <w:p>
            <w:r/>
            <w:r>
              <w:rPr>
                <w:rFonts w:ascii="Aptos" w:hAnsi="Aptos"/>
                <w:b w:val="0"/>
                <w:sz w:val="16"/>
              </w:rPr>
              <w:t>Columns / features</w:t>
            </w:r>
          </w:p>
        </w:tc>
        <w:tc>
          <w:tcPr>
            <w:tcW w:type="dxa" w:w="5040"/>
            <w:vAlign w:val="center"/>
          </w:tcPr>
          <w:p>
            <w:r/>
            <w:r>
              <w:rPr>
                <w:rFonts w:ascii="Aptos" w:hAnsi="Aptos"/>
                <w:b w:val="0"/>
                <w:sz w:val="16"/>
              </w:rPr>
              <w:t>27</w:t>
            </w:r>
          </w:p>
        </w:tc>
      </w:tr>
      <w:tr>
        <w:trPr>
          <w:cantSplit/>
        </w:trPr>
        <w:tc>
          <w:tcPr>
            <w:tcW w:type="dxa" w:w="5040"/>
            <w:vAlign w:val="center"/>
          </w:tcPr>
          <w:p>
            <w:r/>
            <w:r>
              <w:rPr>
                <w:rFonts w:ascii="Aptos" w:hAnsi="Aptos"/>
                <w:b w:val="0"/>
                <w:sz w:val="16"/>
              </w:rPr>
              <w:t>Complete features</w:t>
            </w:r>
          </w:p>
        </w:tc>
        <w:tc>
          <w:tcPr>
            <w:tcW w:type="dxa" w:w="5040"/>
            <w:vAlign w:val="center"/>
          </w:tcPr>
          <w:p>
            <w:r/>
            <w:r>
              <w:rPr>
                <w:rFonts w:ascii="Aptos" w:hAnsi="Aptos"/>
                <w:b w:val="0"/>
                <w:sz w:val="16"/>
              </w:rPr>
              <w:t>12 (44.44%)</w:t>
            </w:r>
          </w:p>
        </w:tc>
      </w:tr>
      <w:tr>
        <w:trPr>
          <w:cantSplit/>
        </w:trPr>
        <w:tc>
          <w:tcPr>
            <w:tcW w:type="dxa" w:w="5040"/>
            <w:vAlign w:val="center"/>
          </w:tcPr>
          <w:p>
            <w:r/>
            <w:r>
              <w:rPr>
                <w:rFonts w:ascii="Aptos" w:hAnsi="Aptos"/>
                <w:b w:val="0"/>
                <w:sz w:val="16"/>
              </w:rPr>
              <w:t>Features with at least one raw null</w:t>
            </w:r>
          </w:p>
        </w:tc>
        <w:tc>
          <w:tcPr>
            <w:tcW w:type="dxa" w:w="5040"/>
            <w:vAlign w:val="center"/>
          </w:tcPr>
          <w:p>
            <w:r/>
            <w:r>
              <w:rPr>
                <w:rFonts w:ascii="Aptos" w:hAnsi="Aptos"/>
                <w:b w:val="0"/>
                <w:sz w:val="16"/>
              </w:rPr>
              <w:t>15 (55.56%)</w:t>
            </w:r>
          </w:p>
        </w:tc>
      </w:tr>
      <w:tr>
        <w:trPr>
          <w:cantSplit/>
        </w:trPr>
        <w:tc>
          <w:tcPr>
            <w:tcW w:type="dxa" w:w="5040"/>
            <w:vAlign w:val="center"/>
          </w:tcPr>
          <w:p>
            <w:r/>
            <w:r>
              <w:rPr>
                <w:rFonts w:ascii="Aptos" w:hAnsi="Aptos"/>
                <w:b w:val="0"/>
                <w:sz w:val="16"/>
              </w:rPr>
              <w:t>Features with raw null rate &gt;50%</w:t>
            </w:r>
          </w:p>
        </w:tc>
        <w:tc>
          <w:tcPr>
            <w:tcW w:type="dxa" w:w="5040"/>
            <w:vAlign w:val="center"/>
          </w:tcPr>
          <w:p>
            <w:r/>
            <w:r>
              <w:rPr>
                <w:rFonts w:ascii="Aptos" w:hAnsi="Aptos"/>
                <w:b w:val="0"/>
                <w:sz w:val="16"/>
              </w:rPr>
              <w:t>9 (33.33%)</w:t>
            </w:r>
          </w:p>
        </w:tc>
      </w:tr>
      <w:tr>
        <w:trPr>
          <w:cantSplit/>
        </w:trPr>
        <w:tc>
          <w:tcPr>
            <w:tcW w:type="dxa" w:w="5040"/>
            <w:vAlign w:val="center"/>
          </w:tcPr>
          <w:p>
            <w:r/>
            <w:r>
              <w:rPr>
                <w:rFonts w:ascii="Aptos" w:hAnsi="Aptos"/>
                <w:b w:val="0"/>
                <w:sz w:val="16"/>
              </w:rPr>
              <w:t>Approx. in-memory size</w:t>
            </w:r>
          </w:p>
        </w:tc>
        <w:tc>
          <w:tcPr>
            <w:tcW w:type="dxa" w:w="5040"/>
            <w:vAlign w:val="center"/>
          </w:tcPr>
          <w:p>
            <w:r/>
            <w:r>
              <w:rPr>
                <w:rFonts w:ascii="Aptos" w:hAnsi="Aptos"/>
                <w:b w:val="0"/>
                <w:sz w:val="16"/>
              </w:rPr>
              <w:t>2.46 MB</w:t>
            </w:r>
          </w:p>
        </w:tc>
      </w:tr>
    </w:tbl>
    <w:p>
      <w:r>
        <w:t>The supplied EDA reports all 27 columns as float64. This is a storage/type artifact rather than a semantic statement that all variables are continuous. Many fields are binary or nominal categorical codes, identifiers, sample weights, pseudo-strata, pseudo-PSUs, or bounded/censored quantities. Converting XPT columns into a generic floating-point dataframe is acceptable for initial inspection but should not be the final semantic data model.</w:t>
      </w:r>
    </w:p>
    <w:p>
      <w:pPr>
        <w:pStyle w:val="Heading2"/>
      </w:pPr>
      <w:r>
        <w:t>3.2 Raw missingness profile</w:t>
      </w:r>
    </w:p>
    <w:p>
      <w:r>
        <w:drawing>
          <wp:inline xmlns:a="http://schemas.openxmlformats.org/drawingml/2006/main" xmlns:pic="http://schemas.openxmlformats.org/drawingml/2006/picture">
            <wp:extent cx="6309360" cy="4063774"/>
            <wp:docPr id="1" name="Picture 1"/>
            <wp:cNvGraphicFramePr>
              <a:graphicFrameLocks noChangeAspect="1"/>
            </wp:cNvGraphicFramePr>
            <a:graphic>
              <a:graphicData uri="http://schemas.openxmlformats.org/drawingml/2006/picture">
                <pic:pic>
                  <pic:nvPicPr>
                    <pic:cNvPr id="0" name="missingness.png"/>
                    <pic:cNvPicPr/>
                  </pic:nvPicPr>
                  <pic:blipFill>
                    <a:blip r:embed="rId10"/>
                    <a:stretch>
                      <a:fillRect/>
                    </a:stretch>
                  </pic:blipFill>
                  <pic:spPr>
                    <a:xfrm>
                      <a:off x="0" y="0"/>
                      <a:ext cx="6309360" cy="4063774"/>
                    </a:xfrm>
                    <a:prstGeom prst="rect"/>
                  </pic:spPr>
                </pic:pic>
              </a:graphicData>
            </a:graphic>
          </wp:inline>
        </w:drawing>
      </w:r>
    </w:p>
    <w:p>
      <w:pPr>
        <w:jc w:val="center"/>
      </w:pPr>
      <w:r>
        <w:t>Figure 1. Raw null percentages computed from the supplied exploratory analysis. These percentages are descriptive only and do not distinguish structural inapplicability from substantive missingness.</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D9E2F3"/>
          </w:tcPr>
          <w:p>
            <w:r/>
            <w:r>
              <w:rPr>
                <w:rFonts w:ascii="Aptos" w:hAnsi="Aptos"/>
                <w:b/>
                <w:sz w:val="16"/>
              </w:rPr>
              <w:t>Feature</w:t>
            </w:r>
          </w:p>
        </w:tc>
        <w:tc>
          <w:tcPr>
            <w:tcW w:type="dxa" w:w="2520"/>
            <w:vAlign w:val="center"/>
            <w:shd w:fill="D9E2F3"/>
          </w:tcPr>
          <w:p>
            <w:r/>
            <w:r>
              <w:rPr>
                <w:rFonts w:ascii="Aptos" w:hAnsi="Aptos"/>
                <w:b/>
                <w:sz w:val="16"/>
              </w:rPr>
              <w:t>Null count</w:t>
            </w:r>
          </w:p>
        </w:tc>
        <w:tc>
          <w:tcPr>
            <w:tcW w:type="dxa" w:w="2520"/>
            <w:vAlign w:val="center"/>
            <w:shd w:fill="D9E2F3"/>
          </w:tcPr>
          <w:p>
            <w:r/>
            <w:r>
              <w:rPr>
                <w:rFonts w:ascii="Aptos" w:hAnsi="Aptos"/>
                <w:b/>
                <w:sz w:val="16"/>
              </w:rPr>
              <w:t>Raw null %</w:t>
            </w:r>
          </w:p>
        </w:tc>
        <w:tc>
          <w:tcPr>
            <w:tcW w:type="dxa" w:w="2520"/>
            <w:vAlign w:val="center"/>
            <w:shd w:fill="D9E2F3"/>
          </w:tcPr>
          <w:p>
            <w:r/>
            <w:r>
              <w:rPr>
                <w:rFonts w:ascii="Aptos" w:hAnsi="Aptos"/>
                <w:b/>
                <w:sz w:val="16"/>
              </w:rPr>
              <w:t>Primary interpretation</w:t>
            </w:r>
          </w:p>
        </w:tc>
      </w:tr>
      <w:tr>
        <w:trPr>
          <w:cantSplit/>
        </w:trPr>
        <w:tc>
          <w:tcPr>
            <w:tcW w:type="dxa" w:w="2520"/>
            <w:vAlign w:val="center"/>
          </w:tcPr>
          <w:p>
            <w:r/>
            <w:r>
              <w:rPr>
                <w:rFonts w:ascii="Aptos" w:hAnsi="Aptos"/>
                <w:b w:val="0"/>
                <w:sz w:val="16"/>
              </w:rPr>
              <w:t>RIDAGEMN</w:t>
            </w:r>
          </w:p>
        </w:tc>
        <w:tc>
          <w:tcPr>
            <w:tcW w:type="dxa" w:w="2520"/>
            <w:vAlign w:val="center"/>
          </w:tcPr>
          <w:p>
            <w:r/>
            <w:r>
              <w:rPr>
                <w:rFonts w:ascii="Aptos" w:hAnsi="Aptos"/>
                <w:b w:val="0"/>
                <w:sz w:val="16"/>
              </w:rPr>
              <w:t>11,556</w:t>
            </w:r>
          </w:p>
        </w:tc>
        <w:tc>
          <w:tcPr>
            <w:tcW w:type="dxa" w:w="2520"/>
            <w:vAlign w:val="center"/>
          </w:tcPr>
          <w:p>
            <w:r/>
            <w:r>
              <w:rPr>
                <w:rFonts w:ascii="Aptos" w:hAnsi="Aptos"/>
                <w:b w:val="0"/>
                <w:sz w:val="16"/>
              </w:rPr>
              <w:t>96.84%</w:t>
            </w:r>
          </w:p>
        </w:tc>
        <w:tc>
          <w:tcPr>
            <w:tcW w:type="dxa" w:w="2520"/>
            <w:vAlign w:val="center"/>
          </w:tcPr>
          <w:p>
            <w:r/>
            <w:r>
              <w:rPr>
                <w:rFonts w:ascii="Aptos" w:hAnsi="Aptos"/>
                <w:b w:val="0"/>
                <w:sz w:val="16"/>
              </w:rPr>
              <w:t>Age-specific pediatric field</w:t>
            </w:r>
          </w:p>
        </w:tc>
      </w:tr>
      <w:tr>
        <w:trPr>
          <w:cantSplit/>
        </w:trPr>
        <w:tc>
          <w:tcPr>
            <w:tcW w:type="dxa" w:w="2520"/>
            <w:vAlign w:val="center"/>
          </w:tcPr>
          <w:p>
            <w:r/>
            <w:r>
              <w:rPr>
                <w:rFonts w:ascii="Aptos" w:hAnsi="Aptos"/>
                <w:b w:val="0"/>
                <w:sz w:val="16"/>
              </w:rPr>
              <w:t>RIDEXPRG</w:t>
            </w:r>
          </w:p>
        </w:tc>
        <w:tc>
          <w:tcPr>
            <w:tcW w:type="dxa" w:w="2520"/>
            <w:vAlign w:val="center"/>
          </w:tcPr>
          <w:p>
            <w:r/>
            <w:r>
              <w:rPr>
                <w:rFonts w:ascii="Aptos" w:hAnsi="Aptos"/>
                <w:b w:val="0"/>
                <w:sz w:val="16"/>
              </w:rPr>
              <w:t>10,430</w:t>
            </w:r>
          </w:p>
        </w:tc>
        <w:tc>
          <w:tcPr>
            <w:tcW w:type="dxa" w:w="2520"/>
            <w:vAlign w:val="center"/>
          </w:tcPr>
          <w:p>
            <w:r/>
            <w:r>
              <w:rPr>
                <w:rFonts w:ascii="Aptos" w:hAnsi="Aptos"/>
                <w:b w:val="0"/>
                <w:sz w:val="16"/>
              </w:rPr>
              <w:t>87.40%</w:t>
            </w:r>
          </w:p>
        </w:tc>
        <w:tc>
          <w:tcPr>
            <w:tcW w:type="dxa" w:w="2520"/>
            <w:vAlign w:val="center"/>
          </w:tcPr>
          <w:p>
            <w:r/>
            <w:r>
              <w:rPr>
                <w:rFonts w:ascii="Aptos" w:hAnsi="Aptos"/>
                <w:b w:val="0"/>
                <w:sz w:val="16"/>
              </w:rPr>
              <w:t>Female 20–44 exam-specific field</w:t>
            </w:r>
          </w:p>
        </w:tc>
      </w:tr>
      <w:tr>
        <w:trPr>
          <w:cantSplit/>
        </w:trPr>
        <w:tc>
          <w:tcPr>
            <w:tcW w:type="dxa" w:w="2520"/>
            <w:vAlign w:val="center"/>
          </w:tcPr>
          <w:p>
            <w:r/>
            <w:r>
              <w:rPr>
                <w:rFonts w:ascii="Aptos" w:hAnsi="Aptos"/>
                <w:b w:val="0"/>
                <w:sz w:val="16"/>
              </w:rPr>
              <w:t>DMDYRUSR</w:t>
            </w:r>
          </w:p>
        </w:tc>
        <w:tc>
          <w:tcPr>
            <w:tcW w:type="dxa" w:w="2520"/>
            <w:vAlign w:val="center"/>
          </w:tcPr>
          <w:p>
            <w:r/>
            <w:r>
              <w:rPr>
                <w:rFonts w:ascii="Aptos" w:hAnsi="Aptos"/>
                <w:b w:val="0"/>
                <w:sz w:val="16"/>
              </w:rPr>
              <w:t>10,058</w:t>
            </w:r>
          </w:p>
        </w:tc>
        <w:tc>
          <w:tcPr>
            <w:tcW w:type="dxa" w:w="2520"/>
            <w:vAlign w:val="center"/>
          </w:tcPr>
          <w:p>
            <w:r/>
            <w:r>
              <w:rPr>
                <w:rFonts w:ascii="Aptos" w:hAnsi="Aptos"/>
                <w:b w:val="0"/>
                <w:sz w:val="16"/>
              </w:rPr>
              <w:t>84.29%</w:t>
            </w:r>
          </w:p>
        </w:tc>
        <w:tc>
          <w:tcPr>
            <w:tcW w:type="dxa" w:w="2520"/>
            <w:vAlign w:val="center"/>
          </w:tcPr>
          <w:p>
            <w:r/>
            <w:r>
              <w:rPr>
                <w:rFonts w:ascii="Aptos" w:hAnsi="Aptos"/>
                <w:b w:val="0"/>
                <w:sz w:val="16"/>
              </w:rPr>
              <w:t>Foreign-born subgroup field; also special response codes</w:t>
            </w:r>
          </w:p>
        </w:tc>
      </w:tr>
      <w:tr>
        <w:trPr>
          <w:cantSplit/>
        </w:trPr>
        <w:tc>
          <w:tcPr>
            <w:tcW w:type="dxa" w:w="2520"/>
            <w:vAlign w:val="center"/>
          </w:tcPr>
          <w:p>
            <w:r/>
            <w:r>
              <w:rPr>
                <w:rFonts w:ascii="Aptos" w:hAnsi="Aptos"/>
                <w:b w:val="0"/>
                <w:sz w:val="16"/>
              </w:rPr>
              <w:t>DMDHSEDZ</w:t>
            </w:r>
          </w:p>
        </w:tc>
        <w:tc>
          <w:tcPr>
            <w:tcW w:type="dxa" w:w="2520"/>
            <w:vAlign w:val="center"/>
          </w:tcPr>
          <w:p>
            <w:r/>
            <w:r>
              <w:rPr>
                <w:rFonts w:ascii="Aptos" w:hAnsi="Aptos"/>
                <w:b w:val="0"/>
                <w:sz w:val="16"/>
              </w:rPr>
              <w:t>9,806</w:t>
            </w:r>
          </w:p>
        </w:tc>
        <w:tc>
          <w:tcPr>
            <w:tcW w:type="dxa" w:w="2520"/>
            <w:vAlign w:val="center"/>
          </w:tcPr>
          <w:p>
            <w:r/>
            <w:r>
              <w:rPr>
                <w:rFonts w:ascii="Aptos" w:hAnsi="Aptos"/>
                <w:b w:val="0"/>
                <w:sz w:val="16"/>
              </w:rPr>
              <w:t>82.18%</w:t>
            </w:r>
          </w:p>
        </w:tc>
        <w:tc>
          <w:tcPr>
            <w:tcW w:type="dxa" w:w="2520"/>
            <w:vAlign w:val="center"/>
          </w:tcPr>
          <w:p>
            <w:r/>
            <w:r>
              <w:rPr>
                <w:rFonts w:ascii="Aptos" w:hAnsi="Aptos"/>
                <w:b w:val="0"/>
                <w:sz w:val="16"/>
              </w:rPr>
              <w:t>Youth household-reference spouse education</w:t>
            </w:r>
          </w:p>
        </w:tc>
      </w:tr>
      <w:tr>
        <w:trPr>
          <w:cantSplit/>
        </w:trPr>
        <w:tc>
          <w:tcPr>
            <w:tcW w:type="dxa" w:w="2520"/>
            <w:vAlign w:val="center"/>
          </w:tcPr>
          <w:p>
            <w:r/>
            <w:r>
              <w:rPr>
                <w:rFonts w:ascii="Aptos" w:hAnsi="Aptos"/>
                <w:b w:val="0"/>
                <w:sz w:val="16"/>
              </w:rPr>
              <w:t>RIDEXAGM</w:t>
            </w:r>
          </w:p>
        </w:tc>
        <w:tc>
          <w:tcPr>
            <w:tcW w:type="dxa" w:w="2520"/>
            <w:vAlign w:val="center"/>
          </w:tcPr>
          <w:p>
            <w:r/>
            <w:r>
              <w:rPr>
                <w:rFonts w:ascii="Aptos" w:hAnsi="Aptos"/>
                <w:b w:val="0"/>
                <w:sz w:val="16"/>
              </w:rPr>
              <w:t>9,146</w:t>
            </w:r>
          </w:p>
        </w:tc>
        <w:tc>
          <w:tcPr>
            <w:tcW w:type="dxa" w:w="2520"/>
            <w:vAlign w:val="center"/>
          </w:tcPr>
          <w:p>
            <w:r/>
            <w:r>
              <w:rPr>
                <w:rFonts w:ascii="Aptos" w:hAnsi="Aptos"/>
                <w:b w:val="0"/>
                <w:sz w:val="16"/>
              </w:rPr>
              <w:t>76.64%</w:t>
            </w:r>
          </w:p>
        </w:tc>
        <w:tc>
          <w:tcPr>
            <w:tcW w:type="dxa" w:w="2520"/>
            <w:vAlign w:val="center"/>
          </w:tcPr>
          <w:p>
            <w:r/>
            <w:r>
              <w:rPr>
                <w:rFonts w:ascii="Aptos" w:hAnsi="Aptos"/>
                <w:b w:val="0"/>
                <w:sz w:val="16"/>
              </w:rPr>
              <w:t>Age-in-months field for participants &lt;=19 at exam</w:t>
            </w:r>
          </w:p>
        </w:tc>
      </w:tr>
      <w:tr>
        <w:trPr>
          <w:cantSplit/>
        </w:trPr>
        <w:tc>
          <w:tcPr>
            <w:tcW w:type="dxa" w:w="2520"/>
            <w:vAlign w:val="center"/>
          </w:tcPr>
          <w:p>
            <w:r/>
            <w:r>
              <w:rPr>
                <w:rFonts w:ascii="Aptos" w:hAnsi="Aptos"/>
                <w:b w:val="0"/>
                <w:sz w:val="16"/>
              </w:rPr>
              <w:t>DMDHREDZ</w:t>
            </w:r>
          </w:p>
        </w:tc>
        <w:tc>
          <w:tcPr>
            <w:tcW w:type="dxa" w:w="2520"/>
            <w:vAlign w:val="center"/>
          </w:tcPr>
          <w:p>
            <w:r/>
            <w:r>
              <w:rPr>
                <w:rFonts w:ascii="Aptos" w:hAnsi="Aptos"/>
                <w:b w:val="0"/>
                <w:sz w:val="16"/>
              </w:rPr>
              <w:t>8,187</w:t>
            </w:r>
          </w:p>
        </w:tc>
        <w:tc>
          <w:tcPr>
            <w:tcW w:type="dxa" w:w="2520"/>
            <w:vAlign w:val="center"/>
          </w:tcPr>
          <w:p>
            <w:r/>
            <w:r>
              <w:rPr>
                <w:rFonts w:ascii="Aptos" w:hAnsi="Aptos"/>
                <w:b w:val="0"/>
                <w:sz w:val="16"/>
              </w:rPr>
              <w:t>68.61%</w:t>
            </w:r>
          </w:p>
        </w:tc>
        <w:tc>
          <w:tcPr>
            <w:tcW w:type="dxa" w:w="2520"/>
            <w:vAlign w:val="center"/>
          </w:tcPr>
          <w:p>
            <w:r/>
            <w:r>
              <w:rPr>
                <w:rFonts w:ascii="Aptos" w:hAnsi="Aptos"/>
                <w:b w:val="0"/>
                <w:sz w:val="16"/>
              </w:rPr>
              <w:t>Youth household-reference education</w:t>
            </w:r>
          </w:p>
        </w:tc>
      </w:tr>
      <w:tr>
        <w:trPr>
          <w:cantSplit/>
        </w:trPr>
        <w:tc>
          <w:tcPr>
            <w:tcW w:type="dxa" w:w="2520"/>
            <w:vAlign w:val="center"/>
          </w:tcPr>
          <w:p>
            <w:r/>
            <w:r>
              <w:rPr>
                <w:rFonts w:ascii="Aptos" w:hAnsi="Aptos"/>
                <w:b w:val="0"/>
                <w:sz w:val="16"/>
              </w:rPr>
              <w:t>DMDHRMAZ</w:t>
            </w:r>
          </w:p>
        </w:tc>
        <w:tc>
          <w:tcPr>
            <w:tcW w:type="dxa" w:w="2520"/>
            <w:vAlign w:val="center"/>
          </w:tcPr>
          <w:p>
            <w:r/>
            <w:r>
              <w:rPr>
                <w:rFonts w:ascii="Aptos" w:hAnsi="Aptos"/>
                <w:b w:val="0"/>
                <w:sz w:val="16"/>
              </w:rPr>
              <w:t>7,913</w:t>
            </w:r>
          </w:p>
        </w:tc>
        <w:tc>
          <w:tcPr>
            <w:tcW w:type="dxa" w:w="2520"/>
            <w:vAlign w:val="center"/>
          </w:tcPr>
          <w:p>
            <w:r/>
            <w:r>
              <w:rPr>
                <w:rFonts w:ascii="Aptos" w:hAnsi="Aptos"/>
                <w:b w:val="0"/>
                <w:sz w:val="16"/>
              </w:rPr>
              <w:t>66.31%</w:t>
            </w:r>
          </w:p>
        </w:tc>
        <w:tc>
          <w:tcPr>
            <w:tcW w:type="dxa" w:w="2520"/>
            <w:vAlign w:val="center"/>
          </w:tcPr>
          <w:p>
            <w:r/>
            <w:r>
              <w:rPr>
                <w:rFonts w:ascii="Aptos" w:hAnsi="Aptos"/>
                <w:b w:val="0"/>
                <w:sz w:val="16"/>
              </w:rPr>
              <w:t>Youth household-reference marital status</w:t>
            </w:r>
          </w:p>
        </w:tc>
      </w:tr>
      <w:tr>
        <w:trPr>
          <w:cantSplit/>
        </w:trPr>
        <w:tc>
          <w:tcPr>
            <w:tcW w:type="dxa" w:w="2520"/>
            <w:vAlign w:val="center"/>
          </w:tcPr>
          <w:p>
            <w:r/>
            <w:r>
              <w:rPr>
                <w:rFonts w:ascii="Aptos" w:hAnsi="Aptos"/>
                <w:b w:val="0"/>
                <w:sz w:val="16"/>
              </w:rPr>
              <w:t>DMDHRGND</w:t>
            </w:r>
          </w:p>
        </w:tc>
        <w:tc>
          <w:tcPr>
            <w:tcW w:type="dxa" w:w="2520"/>
            <w:vAlign w:val="center"/>
          </w:tcPr>
          <w:p>
            <w:r/>
            <w:r>
              <w:rPr>
                <w:rFonts w:ascii="Aptos" w:hAnsi="Aptos"/>
                <w:b w:val="0"/>
                <w:sz w:val="16"/>
              </w:rPr>
              <w:t>7,818</w:t>
            </w:r>
          </w:p>
        </w:tc>
        <w:tc>
          <w:tcPr>
            <w:tcW w:type="dxa" w:w="2520"/>
            <w:vAlign w:val="center"/>
          </w:tcPr>
          <w:p>
            <w:r/>
            <w:r>
              <w:rPr>
                <w:rFonts w:ascii="Aptos" w:hAnsi="Aptos"/>
                <w:b w:val="0"/>
                <w:sz w:val="16"/>
              </w:rPr>
              <w:t>65.52%</w:t>
            </w:r>
          </w:p>
        </w:tc>
        <w:tc>
          <w:tcPr>
            <w:tcW w:type="dxa" w:w="2520"/>
            <w:vAlign w:val="center"/>
          </w:tcPr>
          <w:p>
            <w:r/>
            <w:r>
              <w:rPr>
                <w:rFonts w:ascii="Aptos" w:hAnsi="Aptos"/>
                <w:b w:val="0"/>
                <w:sz w:val="16"/>
              </w:rPr>
              <w:t>Youth household-reference gender</w:t>
            </w:r>
          </w:p>
        </w:tc>
      </w:tr>
      <w:tr>
        <w:trPr>
          <w:cantSplit/>
        </w:trPr>
        <w:tc>
          <w:tcPr>
            <w:tcW w:type="dxa" w:w="2520"/>
            <w:vAlign w:val="center"/>
          </w:tcPr>
          <w:p>
            <w:r/>
            <w:r>
              <w:rPr>
                <w:rFonts w:ascii="Aptos" w:hAnsi="Aptos"/>
                <w:b w:val="0"/>
                <w:sz w:val="16"/>
              </w:rPr>
              <w:t>DMDHRAGZ</w:t>
            </w:r>
          </w:p>
        </w:tc>
        <w:tc>
          <w:tcPr>
            <w:tcW w:type="dxa" w:w="2520"/>
            <w:vAlign w:val="center"/>
          </w:tcPr>
          <w:p>
            <w:r/>
            <w:r>
              <w:rPr>
                <w:rFonts w:ascii="Aptos" w:hAnsi="Aptos"/>
                <w:b w:val="0"/>
                <w:sz w:val="16"/>
              </w:rPr>
              <w:t>7,809</w:t>
            </w:r>
          </w:p>
        </w:tc>
        <w:tc>
          <w:tcPr>
            <w:tcW w:type="dxa" w:w="2520"/>
            <w:vAlign w:val="center"/>
          </w:tcPr>
          <w:p>
            <w:r/>
            <w:r>
              <w:rPr>
                <w:rFonts w:ascii="Aptos" w:hAnsi="Aptos"/>
                <w:b w:val="0"/>
                <w:sz w:val="16"/>
              </w:rPr>
              <w:t>65.44%</w:t>
            </w:r>
          </w:p>
        </w:tc>
        <w:tc>
          <w:tcPr>
            <w:tcW w:type="dxa" w:w="2520"/>
            <w:vAlign w:val="center"/>
          </w:tcPr>
          <w:p>
            <w:r/>
            <w:r>
              <w:rPr>
                <w:rFonts w:ascii="Aptos" w:hAnsi="Aptos"/>
                <w:b w:val="0"/>
                <w:sz w:val="16"/>
              </w:rPr>
              <w:t>Youth household-reference age</w:t>
            </w:r>
          </w:p>
        </w:tc>
      </w:tr>
      <w:tr>
        <w:trPr>
          <w:cantSplit/>
        </w:trPr>
        <w:tc>
          <w:tcPr>
            <w:tcW w:type="dxa" w:w="2520"/>
            <w:vAlign w:val="center"/>
          </w:tcPr>
          <w:p>
            <w:r/>
            <w:r>
              <w:rPr>
                <w:rFonts w:ascii="Aptos" w:hAnsi="Aptos"/>
                <w:b w:val="0"/>
                <w:sz w:val="16"/>
              </w:rPr>
              <w:t>DMDMARTZ</w:t>
            </w:r>
          </w:p>
        </w:tc>
        <w:tc>
          <w:tcPr>
            <w:tcW w:type="dxa" w:w="2520"/>
            <w:vAlign w:val="center"/>
          </w:tcPr>
          <w:p>
            <w:r/>
            <w:r>
              <w:rPr>
                <w:rFonts w:ascii="Aptos" w:hAnsi="Aptos"/>
                <w:b w:val="0"/>
                <w:sz w:val="16"/>
              </w:rPr>
              <w:t>4,141</w:t>
            </w:r>
          </w:p>
        </w:tc>
        <w:tc>
          <w:tcPr>
            <w:tcW w:type="dxa" w:w="2520"/>
            <w:vAlign w:val="center"/>
          </w:tcPr>
          <w:p>
            <w:r/>
            <w:r>
              <w:rPr>
                <w:rFonts w:ascii="Aptos" w:hAnsi="Aptos"/>
                <w:b w:val="0"/>
                <w:sz w:val="16"/>
              </w:rPr>
              <w:t>34.70%</w:t>
            </w:r>
          </w:p>
        </w:tc>
        <w:tc>
          <w:tcPr>
            <w:tcW w:type="dxa" w:w="2520"/>
            <w:vAlign w:val="center"/>
          </w:tcPr>
          <w:p>
            <w:r/>
            <w:r>
              <w:rPr>
                <w:rFonts w:ascii="Aptos" w:hAnsi="Aptos"/>
                <w:b w:val="0"/>
                <w:sz w:val="16"/>
              </w:rPr>
              <w:t>Adults 20+; unavailable outside target age</w:t>
            </w:r>
          </w:p>
        </w:tc>
      </w:tr>
      <w:tr>
        <w:trPr>
          <w:cantSplit/>
        </w:trPr>
        <w:tc>
          <w:tcPr>
            <w:tcW w:type="dxa" w:w="2520"/>
            <w:vAlign w:val="center"/>
          </w:tcPr>
          <w:p>
            <w:r/>
            <w:r>
              <w:rPr>
                <w:rFonts w:ascii="Aptos" w:hAnsi="Aptos"/>
                <w:b w:val="0"/>
                <w:sz w:val="16"/>
              </w:rPr>
              <w:t>DMDEDUC2</w:t>
            </w:r>
          </w:p>
        </w:tc>
        <w:tc>
          <w:tcPr>
            <w:tcW w:type="dxa" w:w="2520"/>
            <w:vAlign w:val="center"/>
          </w:tcPr>
          <w:p>
            <w:r/>
            <w:r>
              <w:rPr>
                <w:rFonts w:ascii="Aptos" w:hAnsi="Aptos"/>
                <w:b w:val="0"/>
                <w:sz w:val="16"/>
              </w:rPr>
              <w:t>4,139</w:t>
            </w:r>
          </w:p>
        </w:tc>
        <w:tc>
          <w:tcPr>
            <w:tcW w:type="dxa" w:w="2520"/>
            <w:vAlign w:val="center"/>
          </w:tcPr>
          <w:p>
            <w:r/>
            <w:r>
              <w:rPr>
                <w:rFonts w:ascii="Aptos" w:hAnsi="Aptos"/>
                <w:b w:val="0"/>
                <w:sz w:val="16"/>
              </w:rPr>
              <w:t>34.69%</w:t>
            </w:r>
          </w:p>
        </w:tc>
        <w:tc>
          <w:tcPr>
            <w:tcW w:type="dxa" w:w="2520"/>
            <w:vAlign w:val="center"/>
          </w:tcPr>
          <w:p>
            <w:r/>
            <w:r>
              <w:rPr>
                <w:rFonts w:ascii="Aptos" w:hAnsi="Aptos"/>
                <w:b w:val="0"/>
                <w:sz w:val="16"/>
              </w:rPr>
              <w:t>Adults 20+; unavailable outside target age</w:t>
            </w:r>
          </w:p>
        </w:tc>
      </w:tr>
      <w:tr>
        <w:trPr>
          <w:cantSplit/>
        </w:trPr>
        <w:tc>
          <w:tcPr>
            <w:tcW w:type="dxa" w:w="2520"/>
            <w:vAlign w:val="center"/>
          </w:tcPr>
          <w:p>
            <w:r/>
            <w:r>
              <w:rPr>
                <w:rFonts w:ascii="Aptos" w:hAnsi="Aptos"/>
                <w:b w:val="0"/>
                <w:sz w:val="16"/>
              </w:rPr>
              <w:t>DMQMILIZ</w:t>
            </w:r>
          </w:p>
        </w:tc>
        <w:tc>
          <w:tcPr>
            <w:tcW w:type="dxa" w:w="2520"/>
            <w:vAlign w:val="center"/>
          </w:tcPr>
          <w:p>
            <w:r/>
            <w:r>
              <w:rPr>
                <w:rFonts w:ascii="Aptos" w:hAnsi="Aptos"/>
                <w:b w:val="0"/>
                <w:sz w:val="16"/>
              </w:rPr>
              <w:t>3,632</w:t>
            </w:r>
          </w:p>
        </w:tc>
        <w:tc>
          <w:tcPr>
            <w:tcW w:type="dxa" w:w="2520"/>
            <w:vAlign w:val="center"/>
          </w:tcPr>
          <w:p>
            <w:r/>
            <w:r>
              <w:rPr>
                <w:rFonts w:ascii="Aptos" w:hAnsi="Aptos"/>
                <w:b w:val="0"/>
                <w:sz w:val="16"/>
              </w:rPr>
              <w:t>30.44%</w:t>
            </w:r>
          </w:p>
        </w:tc>
        <w:tc>
          <w:tcPr>
            <w:tcW w:type="dxa" w:w="2520"/>
            <w:vAlign w:val="center"/>
          </w:tcPr>
          <w:p>
            <w:r/>
            <w:r>
              <w:rPr>
                <w:rFonts w:ascii="Aptos" w:hAnsi="Aptos"/>
                <w:b w:val="0"/>
                <w:sz w:val="16"/>
              </w:rPr>
              <w:t>Age-targeted military-service question</w:t>
            </w:r>
          </w:p>
        </w:tc>
      </w:tr>
      <w:tr>
        <w:trPr>
          <w:cantSplit/>
        </w:trPr>
        <w:tc>
          <w:tcPr>
            <w:tcW w:type="dxa" w:w="2520"/>
            <w:vAlign w:val="center"/>
          </w:tcPr>
          <w:p>
            <w:r/>
            <w:r>
              <w:rPr>
                <w:rFonts w:ascii="Aptos" w:hAnsi="Aptos"/>
                <w:b w:val="0"/>
                <w:sz w:val="16"/>
              </w:rPr>
              <w:t>RIDEXMON</w:t>
            </w:r>
          </w:p>
        </w:tc>
        <w:tc>
          <w:tcPr>
            <w:tcW w:type="dxa" w:w="2520"/>
            <w:vAlign w:val="center"/>
          </w:tcPr>
          <w:p>
            <w:r/>
            <w:r>
              <w:rPr>
                <w:rFonts w:ascii="Aptos" w:hAnsi="Aptos"/>
                <w:b w:val="0"/>
                <w:sz w:val="16"/>
              </w:rPr>
              <w:t>3,073</w:t>
            </w:r>
          </w:p>
        </w:tc>
        <w:tc>
          <w:tcPr>
            <w:tcW w:type="dxa" w:w="2520"/>
            <w:vAlign w:val="center"/>
          </w:tcPr>
          <w:p>
            <w:r/>
            <w:r>
              <w:rPr>
                <w:rFonts w:ascii="Aptos" w:hAnsi="Aptos"/>
                <w:b w:val="0"/>
                <w:sz w:val="16"/>
              </w:rPr>
              <w:t>25.75%</w:t>
            </w:r>
          </w:p>
        </w:tc>
        <w:tc>
          <w:tcPr>
            <w:tcW w:type="dxa" w:w="2520"/>
            <w:vAlign w:val="center"/>
          </w:tcPr>
          <w:p>
            <w:r/>
            <w:r>
              <w:rPr>
                <w:rFonts w:ascii="Aptos" w:hAnsi="Aptos"/>
                <w:b w:val="0"/>
                <w:sz w:val="16"/>
              </w:rPr>
              <w:t>Missing for interview-only participants</w:t>
            </w:r>
          </w:p>
        </w:tc>
      </w:tr>
      <w:tr>
        <w:trPr>
          <w:cantSplit/>
        </w:trPr>
        <w:tc>
          <w:tcPr>
            <w:tcW w:type="dxa" w:w="2520"/>
            <w:vAlign w:val="center"/>
          </w:tcPr>
          <w:p>
            <w:r/>
            <w:r>
              <w:rPr>
                <w:rFonts w:ascii="Aptos" w:hAnsi="Aptos"/>
                <w:b w:val="0"/>
                <w:sz w:val="16"/>
              </w:rPr>
              <w:t>INDFMPIR</w:t>
            </w:r>
          </w:p>
        </w:tc>
        <w:tc>
          <w:tcPr>
            <w:tcW w:type="dxa" w:w="2520"/>
            <w:vAlign w:val="center"/>
          </w:tcPr>
          <w:p>
            <w:r/>
            <w:r>
              <w:rPr>
                <w:rFonts w:ascii="Aptos" w:hAnsi="Aptos"/>
                <w:b w:val="0"/>
                <w:sz w:val="16"/>
              </w:rPr>
              <w:t>2,041</w:t>
            </w:r>
          </w:p>
        </w:tc>
        <w:tc>
          <w:tcPr>
            <w:tcW w:type="dxa" w:w="2520"/>
            <w:vAlign w:val="center"/>
          </w:tcPr>
          <w:p>
            <w:r/>
            <w:r>
              <w:rPr>
                <w:rFonts w:ascii="Aptos" w:hAnsi="Aptos"/>
                <w:b w:val="0"/>
                <w:sz w:val="16"/>
              </w:rPr>
              <w:t>17.10%</w:t>
            </w:r>
          </w:p>
        </w:tc>
        <w:tc>
          <w:tcPr>
            <w:tcW w:type="dxa" w:w="2520"/>
            <w:vAlign w:val="center"/>
          </w:tcPr>
          <w:p>
            <w:r/>
            <w:r>
              <w:rPr>
                <w:rFonts w:ascii="Aptos" w:hAnsi="Aptos"/>
                <w:b w:val="0"/>
                <w:sz w:val="16"/>
              </w:rPr>
              <w:t>Family income-to-poverty ratio unavailable when income data insufficient</w:t>
            </w:r>
          </w:p>
        </w:tc>
      </w:tr>
      <w:tr>
        <w:trPr>
          <w:cantSplit/>
        </w:trPr>
        <w:tc>
          <w:tcPr>
            <w:tcW w:type="dxa" w:w="2520"/>
            <w:vAlign w:val="center"/>
          </w:tcPr>
          <w:p>
            <w:r/>
            <w:r>
              <w:rPr>
                <w:rFonts w:ascii="Aptos" w:hAnsi="Aptos"/>
                <w:b w:val="0"/>
                <w:sz w:val="16"/>
              </w:rPr>
              <w:t>DMDBORN4</w:t>
            </w:r>
          </w:p>
        </w:tc>
        <w:tc>
          <w:tcPr>
            <w:tcW w:type="dxa" w:w="2520"/>
            <w:vAlign w:val="center"/>
          </w:tcPr>
          <w:p>
            <w:r/>
            <w:r>
              <w:rPr>
                <w:rFonts w:ascii="Aptos" w:hAnsi="Aptos"/>
                <w:b w:val="0"/>
                <w:sz w:val="16"/>
              </w:rPr>
              <w:t>19</w:t>
            </w:r>
          </w:p>
        </w:tc>
        <w:tc>
          <w:tcPr>
            <w:tcW w:type="dxa" w:w="2520"/>
            <w:vAlign w:val="center"/>
          </w:tcPr>
          <w:p>
            <w:r/>
            <w:r>
              <w:rPr>
                <w:rFonts w:ascii="Aptos" w:hAnsi="Aptos"/>
                <w:b w:val="0"/>
                <w:sz w:val="16"/>
              </w:rPr>
              <w:t>0.16%</w:t>
            </w:r>
          </w:p>
        </w:tc>
        <w:tc>
          <w:tcPr>
            <w:tcW w:type="dxa" w:w="2520"/>
            <w:vAlign w:val="center"/>
          </w:tcPr>
          <w:p>
            <w:r/>
            <w:r>
              <w:rPr>
                <w:rFonts w:ascii="Aptos" w:hAnsi="Aptos"/>
                <w:b w:val="0"/>
                <w:sz w:val="16"/>
              </w:rPr>
              <w:t>Very small residual missingness</w:t>
            </w:r>
          </w:p>
        </w:tc>
      </w:tr>
    </w:tbl>
    <w:p>
      <w:pPr>
        <w:pStyle w:val="Heading2"/>
      </w:pPr>
      <w:r>
        <w:t>3.3 Direct consistency checks against the codebook</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D9E2F3"/>
          </w:tcPr>
          <w:p>
            <w:r/>
            <w:r>
              <w:rPr>
                <w:rFonts w:ascii="Aptos" w:hAnsi="Aptos"/>
                <w:b/>
                <w:sz w:val="16"/>
              </w:rPr>
              <w:t>Check</w:t>
            </w:r>
          </w:p>
        </w:tc>
        <w:tc>
          <w:tcPr>
            <w:tcW w:type="dxa" w:w="3360"/>
            <w:vAlign w:val="center"/>
            <w:shd w:fill="D9E2F3"/>
          </w:tcPr>
          <w:p>
            <w:r/>
            <w:r>
              <w:rPr>
                <w:rFonts w:ascii="Aptos" w:hAnsi="Aptos"/>
                <w:b/>
                <w:sz w:val="16"/>
              </w:rPr>
              <w:t>Observed</w:t>
            </w:r>
          </w:p>
        </w:tc>
        <w:tc>
          <w:tcPr>
            <w:tcW w:type="dxa" w:w="3360"/>
            <w:vAlign w:val="center"/>
            <w:shd w:fill="D9E2F3"/>
          </w:tcPr>
          <w:p>
            <w:r/>
            <w:r>
              <w:rPr>
                <w:rFonts w:ascii="Aptos" w:hAnsi="Aptos"/>
                <w:b/>
                <w:sz w:val="16"/>
              </w:rPr>
              <w:t>Interpretation</w:t>
            </w:r>
          </w:p>
        </w:tc>
      </w:tr>
      <w:tr>
        <w:trPr>
          <w:cantSplit/>
        </w:trPr>
        <w:tc>
          <w:tcPr>
            <w:tcW w:type="dxa" w:w="3360"/>
            <w:vAlign w:val="center"/>
          </w:tcPr>
          <w:p>
            <w:r/>
            <w:r>
              <w:rPr>
                <w:rFonts w:ascii="Aptos" w:hAnsi="Aptos"/>
                <w:b w:val="0"/>
                <w:sz w:val="16"/>
              </w:rPr>
              <w:t>RIDSTATR vs RIDEXMON</w:t>
            </w:r>
          </w:p>
        </w:tc>
        <w:tc>
          <w:tcPr>
            <w:tcW w:type="dxa" w:w="3360"/>
            <w:vAlign w:val="center"/>
          </w:tcPr>
          <w:p>
            <w:r/>
            <w:r>
              <w:rPr>
                <w:rFonts w:ascii="Aptos" w:hAnsi="Aptos"/>
                <w:b w:val="0"/>
                <w:sz w:val="16"/>
              </w:rPr>
              <w:t>3,073 interview-only participants are documented; RIDEXMON has exactly 3,073 raw nulls.</w:t>
            </w:r>
          </w:p>
        </w:tc>
        <w:tc>
          <w:tcPr>
            <w:tcW w:type="dxa" w:w="3360"/>
            <w:vAlign w:val="center"/>
          </w:tcPr>
          <w:p>
            <w:r/>
            <w:r>
              <w:rPr>
                <w:rFonts w:ascii="Aptos" w:hAnsi="Aptos"/>
                <w:b w:val="0"/>
                <w:sz w:val="16"/>
              </w:rPr>
              <w:t>Strong structural consistency: examination-month missingness is aligned with non-MEC participation.</w:t>
            </w:r>
          </w:p>
        </w:tc>
      </w:tr>
      <w:tr>
        <w:trPr>
          <w:cantSplit/>
        </w:trPr>
        <w:tc>
          <w:tcPr>
            <w:tcW w:type="dxa" w:w="3360"/>
            <w:vAlign w:val="center"/>
          </w:tcPr>
          <w:p>
            <w:r/>
            <w:r>
              <w:rPr>
                <w:rFonts w:ascii="Aptos" w:hAnsi="Aptos"/>
                <w:b w:val="0"/>
                <w:sz w:val="16"/>
              </w:rPr>
              <w:t>WTMEC2YR</w:t>
            </w:r>
          </w:p>
        </w:tc>
        <w:tc>
          <w:tcPr>
            <w:tcW w:type="dxa" w:w="3360"/>
            <w:vAlign w:val="center"/>
          </w:tcPr>
          <w:p>
            <w:r/>
            <w:r>
              <w:rPr>
                <w:rFonts w:ascii="Aptos" w:hAnsi="Aptos"/>
                <w:b w:val="0"/>
                <w:sz w:val="16"/>
              </w:rPr>
              <w:t>3,073 records are coded 0 for not MEC examined; the supplied EDA counts these as non-null.</w:t>
            </w:r>
          </w:p>
        </w:tc>
        <w:tc>
          <w:tcPr>
            <w:tcW w:type="dxa" w:w="3360"/>
            <w:vAlign w:val="center"/>
          </w:tcPr>
          <w:p>
            <w:r/>
            <w:r>
              <w:rPr>
                <w:rFonts w:ascii="Aptos" w:hAnsi="Aptos"/>
                <w:b w:val="0"/>
                <w:sz w:val="16"/>
              </w:rPr>
              <w:t>Zero is a design/status value, not a missing value; do not impute it.</w:t>
            </w:r>
          </w:p>
        </w:tc>
      </w:tr>
      <w:tr>
        <w:trPr>
          <w:cantSplit/>
        </w:trPr>
        <w:tc>
          <w:tcPr>
            <w:tcW w:type="dxa" w:w="3360"/>
            <w:vAlign w:val="center"/>
          </w:tcPr>
          <w:p>
            <w:r/>
            <w:r>
              <w:rPr>
                <w:rFonts w:ascii="Aptos" w:hAnsi="Aptos"/>
                <w:b w:val="0"/>
                <w:sz w:val="16"/>
              </w:rPr>
              <w:t>RIDAGEMN</w:t>
            </w:r>
          </w:p>
        </w:tc>
        <w:tc>
          <w:tcPr>
            <w:tcW w:type="dxa" w:w="3360"/>
            <w:vAlign w:val="center"/>
          </w:tcPr>
          <w:p>
            <w:r/>
            <w:r>
              <w:rPr>
                <w:rFonts w:ascii="Aptos" w:hAnsi="Aptos"/>
                <w:b w:val="0"/>
                <w:sz w:val="16"/>
              </w:rPr>
              <w:t>377 non-null records match the 0–24 month target; 11,556 are blank.</w:t>
            </w:r>
          </w:p>
        </w:tc>
        <w:tc>
          <w:tcPr>
            <w:tcW w:type="dxa" w:w="3360"/>
            <w:vAlign w:val="center"/>
          </w:tcPr>
          <w:p>
            <w:r/>
            <w:r>
              <w:rPr>
                <w:rFonts w:ascii="Aptos" w:hAnsi="Aptos"/>
                <w:b w:val="0"/>
                <w:sz w:val="16"/>
              </w:rPr>
              <w:t>High null rate is expected from age-specific applicability.</w:t>
            </w:r>
          </w:p>
        </w:tc>
      </w:tr>
      <w:tr>
        <w:trPr>
          <w:cantSplit/>
        </w:trPr>
        <w:tc>
          <w:tcPr>
            <w:tcW w:type="dxa" w:w="3360"/>
            <w:vAlign w:val="center"/>
          </w:tcPr>
          <w:p>
            <w:r/>
            <w:r>
              <w:rPr>
                <w:rFonts w:ascii="Aptos" w:hAnsi="Aptos"/>
                <w:b w:val="0"/>
                <w:sz w:val="16"/>
              </w:rPr>
              <w:t>DMDEDUC2</w:t>
            </w:r>
          </w:p>
        </w:tc>
        <w:tc>
          <w:tcPr>
            <w:tcW w:type="dxa" w:w="3360"/>
            <w:vAlign w:val="center"/>
          </w:tcPr>
          <w:p>
            <w:r/>
            <w:r>
              <w:rPr>
                <w:rFonts w:ascii="Aptos" w:hAnsi="Aptos"/>
                <w:b w:val="0"/>
                <w:sz w:val="16"/>
              </w:rPr>
              <w:t>Codebook target is adults 20+; supplied EDA reports 7,794 substantive/non-special values plus 11 Don't know and 4,139 blank.</w:t>
            </w:r>
          </w:p>
        </w:tc>
        <w:tc>
          <w:tcPr>
            <w:tcW w:type="dxa" w:w="3360"/>
            <w:vAlign w:val="center"/>
          </w:tcPr>
          <w:p>
            <w:r/>
            <w:r>
              <w:rPr>
                <w:rFonts w:ascii="Aptos" w:hAnsi="Aptos"/>
                <w:b w:val="0"/>
                <w:sz w:val="16"/>
              </w:rPr>
              <w:t>Raw-null percentage understates response-state complexity.</w:t>
            </w:r>
          </w:p>
        </w:tc>
      </w:tr>
      <w:tr>
        <w:trPr>
          <w:cantSplit/>
        </w:trPr>
        <w:tc>
          <w:tcPr>
            <w:tcW w:type="dxa" w:w="3360"/>
            <w:vAlign w:val="center"/>
          </w:tcPr>
          <w:p>
            <w:r/>
            <w:r>
              <w:rPr>
                <w:rFonts w:ascii="Aptos" w:hAnsi="Aptos"/>
                <w:b w:val="0"/>
                <w:sz w:val="16"/>
              </w:rPr>
              <w:t>DMDMARTZ</w:t>
            </w:r>
          </w:p>
        </w:tc>
        <w:tc>
          <w:tcPr>
            <w:tcW w:type="dxa" w:w="3360"/>
            <w:vAlign w:val="center"/>
          </w:tcPr>
          <w:p>
            <w:r/>
            <w:r>
              <w:rPr>
                <w:rFonts w:ascii="Aptos" w:hAnsi="Aptos"/>
                <w:b w:val="0"/>
                <w:sz w:val="16"/>
              </w:rPr>
              <w:t>Codebook target is adults 20+; supplied EDA reports 7,792 substantive/non-special values plus Refused/Don't know codes.</w:t>
            </w:r>
          </w:p>
        </w:tc>
        <w:tc>
          <w:tcPr>
            <w:tcW w:type="dxa" w:w="3360"/>
            <w:vAlign w:val="center"/>
          </w:tcPr>
          <w:p>
            <w:r/>
            <w:r>
              <w:rPr>
                <w:rFonts w:ascii="Aptos" w:hAnsi="Aptos"/>
                <w:b w:val="0"/>
                <w:sz w:val="16"/>
              </w:rPr>
              <w:t>Need special-code normalization before analysis.</w:t>
            </w:r>
          </w:p>
        </w:tc>
      </w:tr>
      <w:tr>
        <w:trPr>
          <w:cantSplit/>
        </w:trPr>
        <w:tc>
          <w:tcPr>
            <w:tcW w:type="dxa" w:w="3360"/>
            <w:vAlign w:val="center"/>
          </w:tcPr>
          <w:p>
            <w:r/>
            <w:r>
              <w:rPr>
                <w:rFonts w:ascii="Aptos" w:hAnsi="Aptos"/>
                <w:b w:val="0"/>
                <w:sz w:val="16"/>
              </w:rPr>
              <w:t>INDFMPIR</w:t>
            </w:r>
          </w:p>
        </w:tc>
        <w:tc>
          <w:tcPr>
            <w:tcW w:type="dxa" w:w="3360"/>
            <w:vAlign w:val="center"/>
          </w:tcPr>
          <w:p>
            <w:r/>
            <w:r>
              <w:rPr>
                <w:rFonts w:ascii="Aptos" w:hAnsi="Aptos"/>
                <w:b w:val="0"/>
                <w:sz w:val="16"/>
              </w:rPr>
              <w:t>2,149 participants have code/value 5 representing &gt;=5.00; 2,041 are blank.</w:t>
            </w:r>
          </w:p>
        </w:tc>
        <w:tc>
          <w:tcPr>
            <w:tcW w:type="dxa" w:w="3360"/>
            <w:vAlign w:val="center"/>
          </w:tcPr>
          <w:p>
            <w:r/>
            <w:r>
              <w:rPr>
                <w:rFonts w:ascii="Aptos" w:hAnsi="Aptos"/>
                <w:b w:val="0"/>
                <w:sz w:val="16"/>
              </w:rPr>
              <w:t>5 is a censored upper category, not an exact continuous measurement.</w:t>
            </w:r>
          </w:p>
        </w:tc>
      </w:tr>
    </w:tbl>
    <w:p>
      <w:pPr>
        <w:pStyle w:val="Heading1"/>
      </w:pPr>
      <w:r>
        <w:t>4. Semantic Data Types: What the float64 Results Really Mean</w:t>
      </w:r>
    </w:p>
    <w:p>
      <w:r>
        <w:t>The first EDA correctly reveals the physical dataframe dtype but not the semantic variable type. For downstream modeling, the team should create a machine-readable data dictionary with at least: raw variable name, semantic type, unit, code set, eligible population, collection component, response-state rules, censoring rule, analytical role, and transformation policy.</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D9E2F3"/>
          </w:tcPr>
          <w:p>
            <w:r/>
            <w:r>
              <w:rPr>
                <w:rFonts w:ascii="Aptos" w:hAnsi="Aptos"/>
                <w:b/>
                <w:sz w:val="16"/>
              </w:rPr>
              <w:t>Variable class</w:t>
            </w:r>
          </w:p>
        </w:tc>
        <w:tc>
          <w:tcPr>
            <w:tcW w:type="dxa" w:w="2520"/>
            <w:vAlign w:val="center"/>
            <w:shd w:fill="D9E2F3"/>
          </w:tcPr>
          <w:p>
            <w:r/>
            <w:r>
              <w:rPr>
                <w:rFonts w:ascii="Aptos" w:hAnsi="Aptos"/>
                <w:b/>
                <w:sz w:val="16"/>
              </w:rPr>
              <w:t>Examples</w:t>
            </w:r>
          </w:p>
        </w:tc>
        <w:tc>
          <w:tcPr>
            <w:tcW w:type="dxa" w:w="2520"/>
            <w:vAlign w:val="center"/>
            <w:shd w:fill="D9E2F3"/>
          </w:tcPr>
          <w:p>
            <w:r/>
            <w:r>
              <w:rPr>
                <w:rFonts w:ascii="Aptos" w:hAnsi="Aptos"/>
                <w:b/>
                <w:sz w:val="16"/>
              </w:rPr>
              <w:t>Recommended semantic type</w:t>
            </w:r>
          </w:p>
        </w:tc>
        <w:tc>
          <w:tcPr>
            <w:tcW w:type="dxa" w:w="2520"/>
            <w:vAlign w:val="center"/>
            <w:shd w:fill="D9E2F3"/>
          </w:tcPr>
          <w:p>
            <w:r/>
            <w:r>
              <w:rPr>
                <w:rFonts w:ascii="Aptos" w:hAnsi="Aptos"/>
                <w:b/>
                <w:sz w:val="16"/>
              </w:rPr>
              <w:t>Modeling treatment</w:t>
            </w:r>
          </w:p>
        </w:tc>
      </w:tr>
      <w:tr>
        <w:trPr>
          <w:cantSplit/>
        </w:trPr>
        <w:tc>
          <w:tcPr>
            <w:tcW w:type="dxa" w:w="2520"/>
            <w:vAlign w:val="center"/>
          </w:tcPr>
          <w:p>
            <w:r/>
            <w:r>
              <w:rPr>
                <w:rFonts w:ascii="Aptos" w:hAnsi="Aptos"/>
                <w:b w:val="0"/>
                <w:sz w:val="16"/>
              </w:rPr>
              <w:t>Identifier</w:t>
            </w:r>
          </w:p>
        </w:tc>
        <w:tc>
          <w:tcPr>
            <w:tcW w:type="dxa" w:w="2520"/>
            <w:vAlign w:val="center"/>
          </w:tcPr>
          <w:p>
            <w:r/>
            <w:r>
              <w:rPr>
                <w:rFonts w:ascii="Aptos" w:hAnsi="Aptos"/>
                <w:b w:val="0"/>
                <w:sz w:val="16"/>
              </w:rPr>
              <w:t>SEQN</w:t>
            </w:r>
          </w:p>
        </w:tc>
        <w:tc>
          <w:tcPr>
            <w:tcW w:type="dxa" w:w="2520"/>
            <w:vAlign w:val="center"/>
          </w:tcPr>
          <w:p>
            <w:r/>
            <w:r>
              <w:rPr>
                <w:rFonts w:ascii="Aptos" w:hAnsi="Aptos"/>
                <w:b w:val="0"/>
                <w:sz w:val="16"/>
              </w:rPr>
              <w:t>Identifier</w:t>
            </w:r>
          </w:p>
        </w:tc>
        <w:tc>
          <w:tcPr>
            <w:tcW w:type="dxa" w:w="2520"/>
            <w:vAlign w:val="center"/>
          </w:tcPr>
          <w:p>
            <w:r/>
            <w:r>
              <w:rPr>
                <w:rFonts w:ascii="Aptos" w:hAnsi="Aptos"/>
                <w:b w:val="0"/>
                <w:sz w:val="16"/>
              </w:rPr>
              <w:t>Never as a predictor.</w:t>
            </w:r>
          </w:p>
        </w:tc>
      </w:tr>
      <w:tr>
        <w:trPr>
          <w:cantSplit/>
        </w:trPr>
        <w:tc>
          <w:tcPr>
            <w:tcW w:type="dxa" w:w="2520"/>
            <w:vAlign w:val="center"/>
          </w:tcPr>
          <w:p>
            <w:r/>
            <w:r>
              <w:rPr>
                <w:rFonts w:ascii="Aptos" w:hAnsi="Aptos"/>
                <w:b w:val="0"/>
                <w:sz w:val="16"/>
              </w:rPr>
              <w:t>Cycle/provenance</w:t>
            </w:r>
          </w:p>
        </w:tc>
        <w:tc>
          <w:tcPr>
            <w:tcW w:type="dxa" w:w="2520"/>
            <w:vAlign w:val="center"/>
          </w:tcPr>
          <w:p>
            <w:r/>
            <w:r>
              <w:rPr>
                <w:rFonts w:ascii="Aptos" w:hAnsi="Aptos"/>
                <w:b w:val="0"/>
                <w:sz w:val="16"/>
              </w:rPr>
              <w:t>SDDSRVYR</w:t>
            </w:r>
          </w:p>
        </w:tc>
        <w:tc>
          <w:tcPr>
            <w:tcW w:type="dxa" w:w="2520"/>
            <w:vAlign w:val="center"/>
          </w:tcPr>
          <w:p>
            <w:r/>
            <w:r>
              <w:rPr>
                <w:rFonts w:ascii="Aptos" w:hAnsi="Aptos"/>
                <w:b w:val="0"/>
                <w:sz w:val="16"/>
              </w:rPr>
              <w:t>Constant categorical metadata</w:t>
            </w:r>
          </w:p>
        </w:tc>
        <w:tc>
          <w:tcPr>
            <w:tcW w:type="dxa" w:w="2520"/>
            <w:vAlign w:val="center"/>
          </w:tcPr>
          <w:p>
            <w:r/>
            <w:r>
              <w:rPr>
                <w:rFonts w:ascii="Aptos" w:hAnsi="Aptos"/>
                <w:b w:val="0"/>
                <w:sz w:val="16"/>
              </w:rPr>
              <w:t>Preserve; exclude from general predictor matrix.</w:t>
            </w:r>
          </w:p>
        </w:tc>
      </w:tr>
      <w:tr>
        <w:trPr>
          <w:cantSplit/>
        </w:trPr>
        <w:tc>
          <w:tcPr>
            <w:tcW w:type="dxa" w:w="2520"/>
            <w:vAlign w:val="center"/>
          </w:tcPr>
          <w:p>
            <w:r/>
            <w:r>
              <w:rPr>
                <w:rFonts w:ascii="Aptos" w:hAnsi="Aptos"/>
                <w:b w:val="0"/>
                <w:sz w:val="16"/>
              </w:rPr>
              <w:t>Participation/status</w:t>
            </w:r>
          </w:p>
        </w:tc>
        <w:tc>
          <w:tcPr>
            <w:tcW w:type="dxa" w:w="2520"/>
            <w:vAlign w:val="center"/>
          </w:tcPr>
          <w:p>
            <w:r/>
            <w:r>
              <w:rPr>
                <w:rFonts w:ascii="Aptos" w:hAnsi="Aptos"/>
                <w:b w:val="0"/>
                <w:sz w:val="16"/>
              </w:rPr>
              <w:t>RIDSTATR</w:t>
            </w:r>
          </w:p>
        </w:tc>
        <w:tc>
          <w:tcPr>
            <w:tcW w:type="dxa" w:w="2520"/>
            <w:vAlign w:val="center"/>
          </w:tcPr>
          <w:p>
            <w:r/>
            <w:r>
              <w:rPr>
                <w:rFonts w:ascii="Aptos" w:hAnsi="Aptos"/>
                <w:b w:val="0"/>
                <w:sz w:val="16"/>
              </w:rPr>
              <w:t>Categorical/status</w:t>
            </w:r>
          </w:p>
        </w:tc>
        <w:tc>
          <w:tcPr>
            <w:tcW w:type="dxa" w:w="2520"/>
            <w:vAlign w:val="center"/>
          </w:tcPr>
          <w:p>
            <w:r/>
            <w:r>
              <w:rPr>
                <w:rFonts w:ascii="Aptos" w:hAnsi="Aptos"/>
                <w:b w:val="0"/>
                <w:sz w:val="16"/>
              </w:rPr>
              <w:t>Use for cohort construction and missingness; not a biological predictor.</w:t>
            </w:r>
          </w:p>
        </w:tc>
      </w:tr>
      <w:tr>
        <w:trPr>
          <w:cantSplit/>
        </w:trPr>
        <w:tc>
          <w:tcPr>
            <w:tcW w:type="dxa" w:w="2520"/>
            <w:vAlign w:val="center"/>
          </w:tcPr>
          <w:p>
            <w:r/>
            <w:r>
              <w:rPr>
                <w:rFonts w:ascii="Aptos" w:hAnsi="Aptos"/>
                <w:b w:val="0"/>
                <w:sz w:val="16"/>
              </w:rPr>
              <w:t>Binary categorical</w:t>
            </w:r>
          </w:p>
        </w:tc>
        <w:tc>
          <w:tcPr>
            <w:tcW w:type="dxa" w:w="2520"/>
            <w:vAlign w:val="center"/>
          </w:tcPr>
          <w:p>
            <w:r/>
            <w:r>
              <w:rPr>
                <w:rFonts w:ascii="Aptos" w:hAnsi="Aptos"/>
                <w:b w:val="0"/>
                <w:sz w:val="16"/>
              </w:rPr>
              <w:t>RIAGENDR</w:t>
            </w:r>
          </w:p>
        </w:tc>
        <w:tc>
          <w:tcPr>
            <w:tcW w:type="dxa" w:w="2520"/>
            <w:vAlign w:val="center"/>
          </w:tcPr>
          <w:p>
            <w:r/>
            <w:r>
              <w:rPr>
                <w:rFonts w:ascii="Aptos" w:hAnsi="Aptos"/>
                <w:b w:val="0"/>
                <w:sz w:val="16"/>
              </w:rPr>
              <w:t>Nominal categorical</w:t>
            </w:r>
          </w:p>
        </w:tc>
        <w:tc>
          <w:tcPr>
            <w:tcW w:type="dxa" w:w="2520"/>
            <w:vAlign w:val="center"/>
          </w:tcPr>
          <w:p>
            <w:r/>
            <w:r>
              <w:rPr>
                <w:rFonts w:ascii="Aptos" w:hAnsi="Aptos"/>
                <w:b w:val="0"/>
                <w:sz w:val="16"/>
              </w:rPr>
              <w:t>Categorical encoding; define reference levels explicitly.</w:t>
            </w:r>
          </w:p>
        </w:tc>
      </w:tr>
      <w:tr>
        <w:trPr>
          <w:cantSplit/>
        </w:trPr>
        <w:tc>
          <w:tcPr>
            <w:tcW w:type="dxa" w:w="2520"/>
            <w:vAlign w:val="center"/>
          </w:tcPr>
          <w:p>
            <w:r/>
            <w:r>
              <w:rPr>
                <w:rFonts w:ascii="Aptos" w:hAnsi="Aptos"/>
                <w:b w:val="0"/>
                <w:sz w:val="16"/>
              </w:rPr>
              <w:t>Age</w:t>
            </w:r>
          </w:p>
        </w:tc>
        <w:tc>
          <w:tcPr>
            <w:tcW w:type="dxa" w:w="2520"/>
            <w:vAlign w:val="center"/>
          </w:tcPr>
          <w:p>
            <w:r/>
            <w:r>
              <w:rPr>
                <w:rFonts w:ascii="Aptos" w:hAnsi="Aptos"/>
                <w:b w:val="0"/>
                <w:sz w:val="16"/>
              </w:rPr>
              <w:t>RIDAGEYR</w:t>
            </w:r>
          </w:p>
        </w:tc>
        <w:tc>
          <w:tcPr>
            <w:tcW w:type="dxa" w:w="2520"/>
            <w:vAlign w:val="center"/>
          </w:tcPr>
          <w:p>
            <w:r/>
            <w:r>
              <w:rPr>
                <w:rFonts w:ascii="Aptos" w:hAnsi="Aptos"/>
                <w:b w:val="0"/>
                <w:sz w:val="16"/>
              </w:rPr>
              <w:t>Continuous / top-coded</w:t>
            </w:r>
          </w:p>
        </w:tc>
        <w:tc>
          <w:tcPr>
            <w:tcW w:type="dxa" w:w="2520"/>
            <w:vAlign w:val="center"/>
          </w:tcPr>
          <w:p>
            <w:r/>
            <w:r>
              <w:rPr>
                <w:rFonts w:ascii="Aptos" w:hAnsi="Aptos"/>
                <w:b w:val="0"/>
                <w:sz w:val="16"/>
              </w:rPr>
              <w:t>Keep with top-coding flag; consider age bands or splines.</w:t>
            </w:r>
          </w:p>
        </w:tc>
      </w:tr>
      <w:tr>
        <w:trPr>
          <w:cantSplit/>
        </w:trPr>
        <w:tc>
          <w:tcPr>
            <w:tcW w:type="dxa" w:w="2520"/>
            <w:vAlign w:val="center"/>
          </w:tcPr>
          <w:p>
            <w:r/>
            <w:r>
              <w:rPr>
                <w:rFonts w:ascii="Aptos" w:hAnsi="Aptos"/>
                <w:b w:val="0"/>
                <w:sz w:val="16"/>
              </w:rPr>
              <w:t>Age-specific</w:t>
            </w:r>
          </w:p>
        </w:tc>
        <w:tc>
          <w:tcPr>
            <w:tcW w:type="dxa" w:w="2520"/>
            <w:vAlign w:val="center"/>
          </w:tcPr>
          <w:p>
            <w:r/>
            <w:r>
              <w:rPr>
                <w:rFonts w:ascii="Aptos" w:hAnsi="Aptos"/>
                <w:b w:val="0"/>
                <w:sz w:val="16"/>
              </w:rPr>
              <w:t>RIDAGEMN, RIDEXAGM</w:t>
            </w:r>
          </w:p>
        </w:tc>
        <w:tc>
          <w:tcPr>
            <w:tcW w:type="dxa" w:w="2520"/>
            <w:vAlign w:val="center"/>
          </w:tcPr>
          <w:p>
            <w:r/>
            <w:r>
              <w:rPr>
                <w:rFonts w:ascii="Aptos" w:hAnsi="Aptos"/>
                <w:b w:val="0"/>
                <w:sz w:val="16"/>
              </w:rPr>
              <w:t>Continuous within target population</w:t>
            </w:r>
          </w:p>
        </w:tc>
        <w:tc>
          <w:tcPr>
            <w:tcW w:type="dxa" w:w="2520"/>
            <w:vAlign w:val="center"/>
          </w:tcPr>
          <w:p>
            <w:r/>
            <w:r>
              <w:rPr>
                <w:rFonts w:ascii="Aptos" w:hAnsi="Aptos"/>
                <w:b w:val="0"/>
                <w:sz w:val="16"/>
              </w:rPr>
              <w:t>Use only where applicable; retain applicability mask.</w:t>
            </w:r>
          </w:p>
        </w:tc>
      </w:tr>
      <w:tr>
        <w:trPr>
          <w:cantSplit/>
        </w:trPr>
        <w:tc>
          <w:tcPr>
            <w:tcW w:type="dxa" w:w="2520"/>
            <w:vAlign w:val="center"/>
          </w:tcPr>
          <w:p>
            <w:r/>
            <w:r>
              <w:rPr>
                <w:rFonts w:ascii="Aptos" w:hAnsi="Aptos"/>
                <w:b w:val="0"/>
                <w:sz w:val="16"/>
              </w:rPr>
              <w:t>Nominal demographic</w:t>
            </w:r>
          </w:p>
        </w:tc>
        <w:tc>
          <w:tcPr>
            <w:tcW w:type="dxa" w:w="2520"/>
            <w:vAlign w:val="center"/>
          </w:tcPr>
          <w:p>
            <w:r/>
            <w:r>
              <w:rPr>
                <w:rFonts w:ascii="Aptos" w:hAnsi="Aptos"/>
                <w:b w:val="0"/>
                <w:sz w:val="16"/>
              </w:rPr>
              <w:t>RIDRETH3</w:t>
            </w:r>
          </w:p>
        </w:tc>
        <w:tc>
          <w:tcPr>
            <w:tcW w:type="dxa" w:w="2520"/>
            <w:vAlign w:val="center"/>
          </w:tcPr>
          <w:p>
            <w:r/>
            <w:r>
              <w:rPr>
                <w:rFonts w:ascii="Aptos" w:hAnsi="Aptos"/>
                <w:b w:val="0"/>
                <w:sz w:val="16"/>
              </w:rPr>
              <w:t>Categorical</w:t>
            </w:r>
          </w:p>
        </w:tc>
        <w:tc>
          <w:tcPr>
            <w:tcW w:type="dxa" w:w="2520"/>
            <w:vAlign w:val="center"/>
          </w:tcPr>
          <w:p>
            <w:r/>
            <w:r>
              <w:rPr>
                <w:rFonts w:ascii="Aptos" w:hAnsi="Aptos"/>
                <w:b w:val="0"/>
                <w:sz w:val="16"/>
              </w:rPr>
              <w:t>Prefer one primary race/ethnicity encoding, avoid redundant encodings.</w:t>
            </w:r>
          </w:p>
        </w:tc>
      </w:tr>
      <w:tr>
        <w:trPr>
          <w:cantSplit/>
        </w:trPr>
        <w:tc>
          <w:tcPr>
            <w:tcW w:type="dxa" w:w="2520"/>
            <w:vAlign w:val="center"/>
          </w:tcPr>
          <w:p>
            <w:r/>
            <w:r>
              <w:rPr>
                <w:rFonts w:ascii="Aptos" w:hAnsi="Aptos"/>
                <w:b w:val="0"/>
                <w:sz w:val="16"/>
              </w:rPr>
              <w:t>Survey period</w:t>
            </w:r>
          </w:p>
        </w:tc>
        <w:tc>
          <w:tcPr>
            <w:tcW w:type="dxa" w:w="2520"/>
            <w:vAlign w:val="center"/>
          </w:tcPr>
          <w:p>
            <w:r/>
            <w:r>
              <w:rPr>
                <w:rFonts w:ascii="Aptos" w:hAnsi="Aptos"/>
                <w:b w:val="0"/>
                <w:sz w:val="16"/>
              </w:rPr>
              <w:t>RIDEXMON</w:t>
            </w:r>
          </w:p>
        </w:tc>
        <w:tc>
          <w:tcPr>
            <w:tcW w:type="dxa" w:w="2520"/>
            <w:vAlign w:val="center"/>
          </w:tcPr>
          <w:p>
            <w:r/>
            <w:r>
              <w:rPr>
                <w:rFonts w:ascii="Aptos" w:hAnsi="Aptos"/>
                <w:b w:val="0"/>
                <w:sz w:val="16"/>
              </w:rPr>
              <w:t>Categorical time/season</w:t>
            </w:r>
          </w:p>
        </w:tc>
        <w:tc>
          <w:tcPr>
            <w:tcW w:type="dxa" w:w="2520"/>
            <w:vAlign w:val="center"/>
          </w:tcPr>
          <w:p>
            <w:r/>
            <w:r>
              <w:rPr>
                <w:rFonts w:ascii="Aptos" w:hAnsi="Aptos"/>
                <w:b w:val="0"/>
                <w:sz w:val="16"/>
              </w:rPr>
              <w:t>Potential batch/season covariate; use deliberately.</w:t>
            </w:r>
          </w:p>
        </w:tc>
      </w:tr>
      <w:tr>
        <w:trPr>
          <w:cantSplit/>
        </w:trPr>
        <w:tc>
          <w:tcPr>
            <w:tcW w:type="dxa" w:w="2520"/>
            <w:vAlign w:val="center"/>
          </w:tcPr>
          <w:p>
            <w:r/>
            <w:r>
              <w:rPr>
                <w:rFonts w:ascii="Aptos" w:hAnsi="Aptos"/>
                <w:b w:val="0"/>
                <w:sz w:val="16"/>
              </w:rPr>
              <w:t>Survey weight</w:t>
            </w:r>
          </w:p>
        </w:tc>
        <w:tc>
          <w:tcPr>
            <w:tcW w:type="dxa" w:w="2520"/>
            <w:vAlign w:val="center"/>
          </w:tcPr>
          <w:p>
            <w:r/>
            <w:r>
              <w:rPr>
                <w:rFonts w:ascii="Aptos" w:hAnsi="Aptos"/>
                <w:b w:val="0"/>
                <w:sz w:val="16"/>
              </w:rPr>
              <w:t>WTINT2YR, WTMEC2YR</w:t>
            </w:r>
          </w:p>
        </w:tc>
        <w:tc>
          <w:tcPr>
            <w:tcW w:type="dxa" w:w="2520"/>
            <w:vAlign w:val="center"/>
          </w:tcPr>
          <w:p>
            <w:r/>
            <w:r>
              <w:rPr>
                <w:rFonts w:ascii="Aptos" w:hAnsi="Aptos"/>
                <w:b w:val="0"/>
                <w:sz w:val="16"/>
              </w:rPr>
              <w:t>Positive continuous design weight</w:t>
            </w:r>
          </w:p>
        </w:tc>
        <w:tc>
          <w:tcPr>
            <w:tcW w:type="dxa" w:w="2520"/>
            <w:vAlign w:val="center"/>
          </w:tcPr>
          <w:p>
            <w:r/>
            <w:r>
              <w:rPr>
                <w:rFonts w:ascii="Aptos" w:hAnsi="Aptos"/>
                <w:b w:val="0"/>
                <w:sz w:val="16"/>
              </w:rPr>
              <w:t>Design variable, not feature.</w:t>
            </w:r>
          </w:p>
        </w:tc>
      </w:tr>
      <w:tr>
        <w:trPr>
          <w:cantSplit/>
        </w:trPr>
        <w:tc>
          <w:tcPr>
            <w:tcW w:type="dxa" w:w="2520"/>
            <w:vAlign w:val="center"/>
          </w:tcPr>
          <w:p>
            <w:r/>
            <w:r>
              <w:rPr>
                <w:rFonts w:ascii="Aptos" w:hAnsi="Aptos"/>
                <w:b w:val="0"/>
                <w:sz w:val="16"/>
              </w:rPr>
              <w:t>Variance design</w:t>
            </w:r>
          </w:p>
        </w:tc>
        <w:tc>
          <w:tcPr>
            <w:tcW w:type="dxa" w:w="2520"/>
            <w:vAlign w:val="center"/>
          </w:tcPr>
          <w:p>
            <w:r/>
            <w:r>
              <w:rPr>
                <w:rFonts w:ascii="Aptos" w:hAnsi="Aptos"/>
                <w:b w:val="0"/>
                <w:sz w:val="16"/>
              </w:rPr>
              <w:t>SDMVSTRA, SDMVPSU</w:t>
            </w:r>
          </w:p>
        </w:tc>
        <w:tc>
          <w:tcPr>
            <w:tcW w:type="dxa" w:w="2520"/>
            <w:vAlign w:val="center"/>
          </w:tcPr>
          <w:p>
            <w:r/>
            <w:r>
              <w:rPr>
                <w:rFonts w:ascii="Aptos" w:hAnsi="Aptos"/>
                <w:b w:val="0"/>
                <w:sz w:val="16"/>
              </w:rPr>
              <w:t>Cluster/stratum identifiers</w:t>
            </w:r>
          </w:p>
        </w:tc>
        <w:tc>
          <w:tcPr>
            <w:tcW w:type="dxa" w:w="2520"/>
            <w:vAlign w:val="center"/>
          </w:tcPr>
          <w:p>
            <w:r/>
            <w:r>
              <w:rPr>
                <w:rFonts w:ascii="Aptos" w:hAnsi="Aptos"/>
                <w:b w:val="0"/>
                <w:sz w:val="16"/>
              </w:rPr>
              <w:t>Preserve for survey variance estimation; not predictive features.</w:t>
            </w:r>
          </w:p>
        </w:tc>
      </w:tr>
      <w:tr>
        <w:trPr>
          <w:cantSplit/>
        </w:trPr>
        <w:tc>
          <w:tcPr>
            <w:tcW w:type="dxa" w:w="2520"/>
            <w:vAlign w:val="center"/>
          </w:tcPr>
          <w:p>
            <w:r/>
            <w:r>
              <w:rPr>
                <w:rFonts w:ascii="Aptos" w:hAnsi="Aptos"/>
                <w:b w:val="0"/>
                <w:sz w:val="16"/>
              </w:rPr>
              <w:t>Censored socioeconomics</w:t>
            </w:r>
          </w:p>
        </w:tc>
        <w:tc>
          <w:tcPr>
            <w:tcW w:type="dxa" w:w="2520"/>
            <w:vAlign w:val="center"/>
          </w:tcPr>
          <w:p>
            <w:r/>
            <w:r>
              <w:rPr>
                <w:rFonts w:ascii="Aptos" w:hAnsi="Aptos"/>
                <w:b w:val="0"/>
                <w:sz w:val="16"/>
              </w:rPr>
              <w:t>INDFMPIR</w:t>
            </w:r>
          </w:p>
        </w:tc>
        <w:tc>
          <w:tcPr>
            <w:tcW w:type="dxa" w:w="2520"/>
            <w:vAlign w:val="center"/>
          </w:tcPr>
          <w:p>
            <w:r/>
            <w:r>
              <w:rPr>
                <w:rFonts w:ascii="Aptos" w:hAnsi="Aptos"/>
                <w:b w:val="0"/>
                <w:sz w:val="16"/>
              </w:rPr>
              <w:t>Bounded/censored continuous</w:t>
            </w:r>
          </w:p>
        </w:tc>
        <w:tc>
          <w:tcPr>
            <w:tcW w:type="dxa" w:w="2520"/>
            <w:vAlign w:val="center"/>
          </w:tcPr>
          <w:p>
            <w:r/>
            <w:r>
              <w:rPr>
                <w:rFonts w:ascii="Aptos" w:hAnsi="Aptos"/>
                <w:b w:val="0"/>
                <w:sz w:val="16"/>
              </w:rPr>
              <w:t>Treat &gt;=5 as censored/category; don't interpret 5 as exact.</w:t>
            </w:r>
          </w:p>
        </w:tc>
      </w:tr>
    </w:tbl>
    <w:p>
      <w:pPr>
        <w:pStyle w:val="Heading1"/>
      </w:pPr>
      <w:r>
        <w:t>5. Missingness Taxonomy for MIR</w:t>
      </w:r>
    </w:p>
    <w:p>
      <w:r>
        <w:t>The central conclusion from DEMO_L is that raw NaN count is only the first layer of missingness analysis. The MIR data layer should classify each field into an availability state before imputation or model training.</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D9E2F3"/>
          </w:tcPr>
          <w:p>
            <w:r/>
            <w:r>
              <w:rPr>
                <w:rFonts w:ascii="Aptos" w:hAnsi="Aptos"/>
                <w:b/>
                <w:sz w:val="16"/>
              </w:rPr>
              <w:t>Status state</w:t>
            </w:r>
          </w:p>
        </w:tc>
        <w:tc>
          <w:tcPr>
            <w:tcW w:type="dxa" w:w="2520"/>
            <w:vAlign w:val="center"/>
            <w:shd w:fill="D9E2F3"/>
          </w:tcPr>
          <w:p>
            <w:r/>
            <w:r>
              <w:rPr>
                <w:rFonts w:ascii="Aptos" w:hAnsi="Aptos"/>
                <w:b/>
                <w:sz w:val="16"/>
              </w:rPr>
              <w:t>Meaning</w:t>
            </w:r>
          </w:p>
        </w:tc>
        <w:tc>
          <w:tcPr>
            <w:tcW w:type="dxa" w:w="2520"/>
            <w:vAlign w:val="center"/>
            <w:shd w:fill="D9E2F3"/>
          </w:tcPr>
          <w:p>
            <w:r/>
            <w:r>
              <w:rPr>
                <w:rFonts w:ascii="Aptos" w:hAnsi="Aptos"/>
                <w:b/>
                <w:sz w:val="16"/>
              </w:rPr>
              <w:t>Example in DEMO_L</w:t>
            </w:r>
          </w:p>
        </w:tc>
        <w:tc>
          <w:tcPr>
            <w:tcW w:type="dxa" w:w="2520"/>
            <w:vAlign w:val="center"/>
            <w:shd w:fill="D9E2F3"/>
          </w:tcPr>
          <w:p>
            <w:r/>
            <w:r>
              <w:rPr>
                <w:rFonts w:ascii="Aptos" w:hAnsi="Aptos"/>
                <w:b/>
                <w:sz w:val="16"/>
              </w:rPr>
              <w:t>Should it be imputed?</w:t>
            </w:r>
          </w:p>
        </w:tc>
      </w:tr>
      <w:tr>
        <w:trPr>
          <w:cantSplit/>
        </w:trPr>
        <w:tc>
          <w:tcPr>
            <w:tcW w:type="dxa" w:w="2520"/>
            <w:vAlign w:val="center"/>
          </w:tcPr>
          <w:p>
            <w:r/>
            <w:r>
              <w:rPr>
                <w:rFonts w:ascii="Aptos" w:hAnsi="Aptos"/>
                <w:b w:val="0"/>
                <w:sz w:val="16"/>
              </w:rPr>
              <w:t>Observed</w:t>
            </w:r>
          </w:p>
        </w:tc>
        <w:tc>
          <w:tcPr>
            <w:tcW w:type="dxa" w:w="2520"/>
            <w:vAlign w:val="center"/>
          </w:tcPr>
          <w:p>
            <w:r/>
            <w:r>
              <w:rPr>
                <w:rFonts w:ascii="Aptos" w:hAnsi="Aptos"/>
                <w:b w:val="0"/>
                <w:sz w:val="16"/>
              </w:rPr>
              <w:t>A valid value is present</w:t>
            </w:r>
          </w:p>
        </w:tc>
        <w:tc>
          <w:tcPr>
            <w:tcW w:type="dxa" w:w="2520"/>
            <w:vAlign w:val="center"/>
          </w:tcPr>
          <w:p>
            <w:r/>
            <w:r>
              <w:rPr>
                <w:rFonts w:ascii="Aptos" w:hAnsi="Aptos"/>
                <w:b w:val="0"/>
                <w:sz w:val="16"/>
              </w:rPr>
              <w:t>RIAGENDR=1</w:t>
            </w:r>
          </w:p>
        </w:tc>
        <w:tc>
          <w:tcPr>
            <w:tcW w:type="dxa" w:w="2520"/>
            <w:vAlign w:val="center"/>
          </w:tcPr>
          <w:p>
            <w:r/>
            <w:r>
              <w:rPr>
                <w:rFonts w:ascii="Aptos" w:hAnsi="Aptos"/>
                <w:b w:val="0"/>
                <w:sz w:val="16"/>
              </w:rPr>
              <w:t>No; preserve.</w:t>
            </w:r>
          </w:p>
        </w:tc>
      </w:tr>
      <w:tr>
        <w:trPr>
          <w:cantSplit/>
        </w:trPr>
        <w:tc>
          <w:tcPr>
            <w:tcW w:type="dxa" w:w="2520"/>
            <w:vAlign w:val="center"/>
          </w:tcPr>
          <w:p>
            <w:r/>
            <w:r>
              <w:rPr>
                <w:rFonts w:ascii="Aptos" w:hAnsi="Aptos"/>
                <w:b w:val="0"/>
                <w:sz w:val="16"/>
              </w:rPr>
              <w:t>Not applicable</w:t>
            </w:r>
          </w:p>
        </w:tc>
        <w:tc>
          <w:tcPr>
            <w:tcW w:type="dxa" w:w="2520"/>
            <w:vAlign w:val="center"/>
          </w:tcPr>
          <w:p>
            <w:r/>
            <w:r>
              <w:rPr>
                <w:rFonts w:ascii="Aptos" w:hAnsi="Aptos"/>
                <w:b w:val="0"/>
                <w:sz w:val="16"/>
              </w:rPr>
              <w:t>Variable does not apply by design/eligibility</w:t>
            </w:r>
          </w:p>
        </w:tc>
        <w:tc>
          <w:tcPr>
            <w:tcW w:type="dxa" w:w="2520"/>
            <w:vAlign w:val="center"/>
          </w:tcPr>
          <w:p>
            <w:r/>
            <w:r>
              <w:rPr>
                <w:rFonts w:ascii="Aptos" w:hAnsi="Aptos"/>
                <w:b w:val="0"/>
                <w:sz w:val="16"/>
              </w:rPr>
              <w:t>DMDMARTZ for a 15-year-old</w:t>
            </w:r>
          </w:p>
        </w:tc>
        <w:tc>
          <w:tcPr>
            <w:tcW w:type="dxa" w:w="2520"/>
            <w:vAlign w:val="center"/>
          </w:tcPr>
          <w:p>
            <w:r/>
            <w:r>
              <w:rPr>
                <w:rFonts w:ascii="Aptos" w:hAnsi="Aptos"/>
                <w:b w:val="0"/>
                <w:sz w:val="16"/>
              </w:rPr>
              <w:t>No.</w:t>
            </w:r>
          </w:p>
        </w:tc>
      </w:tr>
      <w:tr>
        <w:trPr>
          <w:cantSplit/>
        </w:trPr>
        <w:tc>
          <w:tcPr>
            <w:tcW w:type="dxa" w:w="2520"/>
            <w:vAlign w:val="center"/>
          </w:tcPr>
          <w:p>
            <w:r/>
            <w:r>
              <w:rPr>
                <w:rFonts w:ascii="Aptos" w:hAnsi="Aptos"/>
                <w:b w:val="0"/>
                <w:sz w:val="16"/>
              </w:rPr>
              <w:t>Not examined / not collected</w:t>
            </w:r>
          </w:p>
        </w:tc>
        <w:tc>
          <w:tcPr>
            <w:tcW w:type="dxa" w:w="2520"/>
            <w:vAlign w:val="center"/>
          </w:tcPr>
          <w:p>
            <w:r/>
            <w:r>
              <w:rPr>
                <w:rFonts w:ascii="Aptos" w:hAnsi="Aptos"/>
                <w:b w:val="0"/>
                <w:sz w:val="16"/>
              </w:rPr>
              <w:t>Required component was not performed</w:t>
            </w:r>
          </w:p>
        </w:tc>
        <w:tc>
          <w:tcPr>
            <w:tcW w:type="dxa" w:w="2520"/>
            <w:vAlign w:val="center"/>
          </w:tcPr>
          <w:p>
            <w:r/>
            <w:r>
              <w:rPr>
                <w:rFonts w:ascii="Aptos" w:hAnsi="Aptos"/>
                <w:b w:val="0"/>
                <w:sz w:val="16"/>
              </w:rPr>
              <w:t>RIDEXMON for interview-only participant</w:t>
            </w:r>
          </w:p>
        </w:tc>
        <w:tc>
          <w:tcPr>
            <w:tcW w:type="dxa" w:w="2520"/>
            <w:vAlign w:val="center"/>
          </w:tcPr>
          <w:p>
            <w:r/>
            <w:r>
              <w:rPr>
                <w:rFonts w:ascii="Aptos" w:hAnsi="Aptos"/>
                <w:b w:val="0"/>
                <w:sz w:val="16"/>
              </w:rPr>
              <w:t>No; retain status.</w:t>
            </w:r>
          </w:p>
        </w:tc>
      </w:tr>
      <w:tr>
        <w:trPr>
          <w:cantSplit/>
        </w:trPr>
        <w:tc>
          <w:tcPr>
            <w:tcW w:type="dxa" w:w="2520"/>
            <w:vAlign w:val="center"/>
          </w:tcPr>
          <w:p>
            <w:r/>
            <w:r>
              <w:rPr>
                <w:rFonts w:ascii="Aptos" w:hAnsi="Aptos"/>
                <w:b w:val="0"/>
                <w:sz w:val="16"/>
              </w:rPr>
              <w:t>Refused</w:t>
            </w:r>
          </w:p>
        </w:tc>
        <w:tc>
          <w:tcPr>
            <w:tcW w:type="dxa" w:w="2520"/>
            <w:vAlign w:val="center"/>
          </w:tcPr>
          <w:p>
            <w:r/>
            <w:r>
              <w:rPr>
                <w:rFonts w:ascii="Aptos" w:hAnsi="Aptos"/>
                <w:b w:val="0"/>
                <w:sz w:val="16"/>
              </w:rPr>
              <w:t>Participant declined to provide response</w:t>
            </w:r>
          </w:p>
        </w:tc>
        <w:tc>
          <w:tcPr>
            <w:tcW w:type="dxa" w:w="2520"/>
            <w:vAlign w:val="center"/>
          </w:tcPr>
          <w:p>
            <w:r/>
            <w:r>
              <w:rPr>
                <w:rFonts w:ascii="Aptos" w:hAnsi="Aptos"/>
                <w:b w:val="0"/>
                <w:sz w:val="16"/>
              </w:rPr>
              <w:t>DMQMILIZ=7, DMDMARTZ=77</w:t>
            </w:r>
          </w:p>
        </w:tc>
        <w:tc>
          <w:tcPr>
            <w:tcW w:type="dxa" w:w="2520"/>
            <w:vAlign w:val="center"/>
          </w:tcPr>
          <w:p>
            <w:r/>
            <w:r>
              <w:rPr>
                <w:rFonts w:ascii="Aptos" w:hAnsi="Aptos"/>
                <w:b w:val="0"/>
                <w:sz w:val="16"/>
              </w:rPr>
              <w:t>Generally no direct value imputation; model as response-state/missing and assess mechanism.</w:t>
            </w:r>
          </w:p>
        </w:tc>
      </w:tr>
      <w:tr>
        <w:trPr>
          <w:cantSplit/>
        </w:trPr>
        <w:tc>
          <w:tcPr>
            <w:tcW w:type="dxa" w:w="2520"/>
            <w:vAlign w:val="center"/>
          </w:tcPr>
          <w:p>
            <w:r/>
            <w:r>
              <w:rPr>
                <w:rFonts w:ascii="Aptos" w:hAnsi="Aptos"/>
                <w:b w:val="0"/>
                <w:sz w:val="16"/>
              </w:rPr>
              <w:t>Don't know</w:t>
            </w:r>
          </w:p>
        </w:tc>
        <w:tc>
          <w:tcPr>
            <w:tcW w:type="dxa" w:w="2520"/>
            <w:vAlign w:val="center"/>
          </w:tcPr>
          <w:p>
            <w:r/>
            <w:r>
              <w:rPr>
                <w:rFonts w:ascii="Aptos" w:hAnsi="Aptos"/>
                <w:b w:val="0"/>
                <w:sz w:val="16"/>
              </w:rPr>
              <w:t>Participant did not know</w:t>
            </w:r>
          </w:p>
        </w:tc>
        <w:tc>
          <w:tcPr>
            <w:tcW w:type="dxa" w:w="2520"/>
            <w:vAlign w:val="center"/>
          </w:tcPr>
          <w:p>
            <w:r/>
            <w:r>
              <w:rPr>
                <w:rFonts w:ascii="Aptos" w:hAnsi="Aptos"/>
                <w:b w:val="0"/>
                <w:sz w:val="16"/>
              </w:rPr>
              <w:t>DMQMILIZ=9, DMDMARTZ=99</w:t>
            </w:r>
          </w:p>
        </w:tc>
        <w:tc>
          <w:tcPr>
            <w:tcW w:type="dxa" w:w="2520"/>
            <w:vAlign w:val="center"/>
          </w:tcPr>
          <w:p>
            <w:r/>
            <w:r>
              <w:rPr>
                <w:rFonts w:ascii="Aptos" w:hAnsi="Aptos"/>
                <w:b w:val="0"/>
                <w:sz w:val="16"/>
              </w:rPr>
              <w:t>Do not equate with biological absence.</w:t>
            </w:r>
          </w:p>
        </w:tc>
      </w:tr>
      <w:tr>
        <w:trPr>
          <w:cantSplit/>
        </w:trPr>
        <w:tc>
          <w:tcPr>
            <w:tcW w:type="dxa" w:w="2520"/>
            <w:vAlign w:val="center"/>
          </w:tcPr>
          <w:p>
            <w:r/>
            <w:r>
              <w:rPr>
                <w:rFonts w:ascii="Aptos" w:hAnsi="Aptos"/>
                <w:b w:val="0"/>
                <w:sz w:val="16"/>
              </w:rPr>
              <w:t>Censored/top-coded</w:t>
            </w:r>
          </w:p>
        </w:tc>
        <w:tc>
          <w:tcPr>
            <w:tcW w:type="dxa" w:w="2520"/>
            <w:vAlign w:val="center"/>
          </w:tcPr>
          <w:p>
            <w:r/>
            <w:r>
              <w:rPr>
                <w:rFonts w:ascii="Aptos" w:hAnsi="Aptos"/>
                <w:b w:val="0"/>
                <w:sz w:val="16"/>
              </w:rPr>
              <w:t>True value exceeds released range</w:t>
            </w:r>
          </w:p>
        </w:tc>
        <w:tc>
          <w:tcPr>
            <w:tcW w:type="dxa" w:w="2520"/>
            <w:vAlign w:val="center"/>
          </w:tcPr>
          <w:p>
            <w:r/>
            <w:r>
              <w:rPr>
                <w:rFonts w:ascii="Aptos" w:hAnsi="Aptos"/>
                <w:b w:val="0"/>
                <w:sz w:val="16"/>
              </w:rPr>
              <w:t>RIDAGEYR=80, INDFMPIR=5</w:t>
            </w:r>
          </w:p>
        </w:tc>
        <w:tc>
          <w:tcPr>
            <w:tcW w:type="dxa" w:w="2520"/>
            <w:vAlign w:val="center"/>
          </w:tcPr>
          <w:p>
            <w:r/>
            <w:r>
              <w:rPr>
                <w:rFonts w:ascii="Aptos" w:hAnsi="Aptos"/>
                <w:b w:val="0"/>
                <w:sz w:val="16"/>
              </w:rPr>
              <w:t>Do not reconstruct exact value from the released public data.</w:t>
            </w:r>
          </w:p>
        </w:tc>
      </w:tr>
      <w:tr>
        <w:trPr>
          <w:cantSplit/>
        </w:trPr>
        <w:tc>
          <w:tcPr>
            <w:tcW w:type="dxa" w:w="2520"/>
            <w:vAlign w:val="center"/>
          </w:tcPr>
          <w:p>
            <w:r/>
            <w:r>
              <w:rPr>
                <w:rFonts w:ascii="Aptos" w:hAnsi="Aptos"/>
                <w:b w:val="0"/>
                <w:sz w:val="16"/>
              </w:rPr>
              <w:t>Invalid/quality issue</w:t>
            </w:r>
          </w:p>
        </w:tc>
        <w:tc>
          <w:tcPr>
            <w:tcW w:type="dxa" w:w="2520"/>
            <w:vAlign w:val="center"/>
          </w:tcPr>
          <w:p>
            <w:r/>
            <w:r>
              <w:rPr>
                <w:rFonts w:ascii="Aptos" w:hAnsi="Aptos"/>
                <w:b w:val="0"/>
                <w:sz w:val="16"/>
              </w:rPr>
              <w:t>Value fails documented validity rules</w:t>
            </w:r>
          </w:p>
        </w:tc>
        <w:tc>
          <w:tcPr>
            <w:tcW w:type="dxa" w:w="2520"/>
            <w:vAlign w:val="center"/>
          </w:tcPr>
          <w:p>
            <w:r/>
            <w:r>
              <w:rPr>
                <w:rFonts w:ascii="Aptos" w:hAnsi="Aptos"/>
                <w:b w:val="0"/>
                <w:sz w:val="16"/>
              </w:rPr>
              <w:t>Data-specific</w:t>
            </w:r>
          </w:p>
        </w:tc>
        <w:tc>
          <w:tcPr>
            <w:tcW w:type="dxa" w:w="2520"/>
            <w:vAlign w:val="center"/>
          </w:tcPr>
          <w:p>
            <w:r/>
            <w:r>
              <w:rPr>
                <w:rFonts w:ascii="Aptos" w:hAnsi="Aptos"/>
                <w:b w:val="0"/>
                <w:sz w:val="16"/>
              </w:rPr>
              <w:t>Resolve from codebook; exclude only when justified.</w:t>
            </w:r>
          </w:p>
        </w:tc>
      </w:tr>
      <w:tr>
        <w:trPr>
          <w:cantSplit/>
        </w:trPr>
        <w:tc>
          <w:tcPr>
            <w:tcW w:type="dxa" w:w="2520"/>
            <w:vAlign w:val="center"/>
          </w:tcPr>
          <w:p>
            <w:r/>
            <w:r>
              <w:rPr>
                <w:rFonts w:ascii="Aptos" w:hAnsi="Aptos"/>
                <w:b w:val="0"/>
                <w:sz w:val="16"/>
              </w:rPr>
              <w:t>Imputable missing</w:t>
            </w:r>
          </w:p>
        </w:tc>
        <w:tc>
          <w:tcPr>
            <w:tcW w:type="dxa" w:w="2520"/>
            <w:vAlign w:val="center"/>
          </w:tcPr>
          <w:p>
            <w:r/>
            <w:r>
              <w:rPr>
                <w:rFonts w:ascii="Aptos" w:hAnsi="Aptos"/>
                <w:b w:val="0"/>
                <w:sz w:val="16"/>
              </w:rPr>
              <w:t>Eligible value expected but absent for an analytic reason</w:t>
            </w:r>
          </w:p>
        </w:tc>
        <w:tc>
          <w:tcPr>
            <w:tcW w:type="dxa" w:w="2520"/>
            <w:vAlign w:val="center"/>
          </w:tcPr>
          <w:p>
            <w:r/>
            <w:r>
              <w:rPr>
                <w:rFonts w:ascii="Aptos" w:hAnsi="Aptos"/>
                <w:b w:val="0"/>
                <w:sz w:val="16"/>
              </w:rPr>
              <w:t>Future lab example</w:t>
            </w:r>
          </w:p>
        </w:tc>
        <w:tc>
          <w:tcPr>
            <w:tcW w:type="dxa" w:w="2520"/>
            <w:vAlign w:val="center"/>
          </w:tcPr>
          <w:p>
            <w:r/>
            <w:r>
              <w:rPr>
                <w:rFonts w:ascii="Aptos" w:hAnsi="Aptos"/>
                <w:b w:val="0"/>
                <w:sz w:val="16"/>
              </w:rPr>
              <w:t>Potentially, using prespecified method.</w:t>
            </w:r>
          </w:p>
        </w:tc>
      </w:tr>
    </w:tbl>
    <w:p>
      <w:pPr>
        <w:pStyle w:val="Heading2"/>
      </w:pPr>
      <w:r>
        <w:t>5.1 Structural missingness versus stochastic missingness</w:t>
      </w:r>
    </w:p>
    <w:p>
      <w:r>
        <w:t>A useful working distinction is between structural missingness and imputable missingness. Structural missingness is created by the survey design: a question or examination was not applicable, not administered, or not released for that participant. Stochastic missingness occurs when a participant was eligible and the variable was intended to be observed, but the value was absent or otherwise unresolved. These mechanisms should not be pooled because they imply different distributions and different scientific meaning.</w:t>
      </w:r>
    </w:p>
    <w:tbl>
      <w:tblPr>
        <w:tblW w:type="auto" w:w="0"/>
        <w:jc w:val="center"/>
        <w:tblLook w:firstColumn="1" w:firstRow="1" w:lastColumn="0" w:lastRow="0" w:noHBand="0" w:noVBand="1" w:val="04A0"/>
      </w:tblPr>
      <w:tblGrid>
        <w:gridCol w:w="10080"/>
      </w:tblGrid>
      <w:tr>
        <w:trPr>
          <w:cantSplit/>
        </w:trPr>
        <w:tc>
          <w:tcPr>
            <w:tcW w:type="dxa" w:w="10080"/>
            <w:shd w:fill="EEF4F8"/>
          </w:tcPr>
          <w:p>
            <w:r>
              <w:rPr>
                <w:b/>
                <w:sz w:val="20"/>
              </w:rPr>
              <w:t>Critical methodological decision</w:t>
            </w:r>
          </w:p>
          <w:p>
            <w:pPr>
              <w:spacing w:after="0"/>
            </w:pPr>
            <w:r>
              <w:rPr>
                <w:sz w:val="18"/>
              </w:rPr>
              <w:t>Do not convert every null in DEMO_L into a filled numerical value. For many variables, the correct representation is a missingness state plus an optional indicator—not an estimated number.</w:t>
            </w:r>
          </w:p>
        </w:tc>
      </w:tr>
    </w:tbl>
    <w:p>
      <w:pPr>
        <w:pStyle w:val="Heading1"/>
      </w:pPr>
      <w:r>
        <w:t>6. Feature Inclusion, Exclusion, and Conditional Retention</w:t>
      </w:r>
    </w:p>
    <w:p>
      <w:r>
        <w:t>For the first MIR modeling studies, DEMO_L should be treated as a source of contextual and design information rather than a 27-feature predictor matrix. The following recommendations are deliberately conservative because the final predictor set must depend on the clinical question and outcome.</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D9E2F3"/>
          </w:tcPr>
          <w:p>
            <w:r/>
            <w:r>
              <w:rPr>
                <w:rFonts w:ascii="Aptos" w:hAnsi="Aptos"/>
                <w:b/>
                <w:sz w:val="16"/>
              </w:rPr>
              <w:t>Variable(s)</w:t>
            </w:r>
          </w:p>
        </w:tc>
        <w:tc>
          <w:tcPr>
            <w:tcW w:type="dxa" w:w="3360"/>
            <w:vAlign w:val="center"/>
            <w:shd w:fill="D9E2F3"/>
          </w:tcPr>
          <w:p>
            <w:r/>
            <w:r>
              <w:rPr>
                <w:rFonts w:ascii="Aptos" w:hAnsi="Aptos"/>
                <w:b/>
                <w:sz w:val="16"/>
              </w:rPr>
              <w:t>Recommendation</w:t>
            </w:r>
          </w:p>
        </w:tc>
        <w:tc>
          <w:tcPr>
            <w:tcW w:type="dxa" w:w="3360"/>
            <w:vAlign w:val="center"/>
            <w:shd w:fill="D9E2F3"/>
          </w:tcPr>
          <w:p>
            <w:r/>
            <w:r>
              <w:rPr>
                <w:rFonts w:ascii="Aptos" w:hAnsi="Aptos"/>
                <w:b/>
                <w:sz w:val="16"/>
              </w:rPr>
              <w:t>Reason</w:t>
            </w:r>
          </w:p>
        </w:tc>
      </w:tr>
      <w:tr>
        <w:trPr>
          <w:cantSplit/>
        </w:trPr>
        <w:tc>
          <w:tcPr>
            <w:tcW w:type="dxa" w:w="3360"/>
            <w:vAlign w:val="center"/>
          </w:tcPr>
          <w:p>
            <w:r/>
            <w:r>
              <w:rPr>
                <w:rFonts w:ascii="Aptos" w:hAnsi="Aptos"/>
                <w:b w:val="0"/>
                <w:sz w:val="16"/>
              </w:rPr>
              <w:t>SEQN</w:t>
            </w:r>
          </w:p>
        </w:tc>
        <w:tc>
          <w:tcPr>
            <w:tcW w:type="dxa" w:w="3360"/>
            <w:vAlign w:val="center"/>
          </w:tcPr>
          <w:p>
            <w:r/>
            <w:r>
              <w:rPr>
                <w:rFonts w:ascii="Aptos" w:hAnsi="Aptos"/>
                <w:b w:val="0"/>
                <w:sz w:val="16"/>
              </w:rPr>
              <w:t>Exclude from predictor matrix; retain as key</w:t>
            </w:r>
          </w:p>
        </w:tc>
        <w:tc>
          <w:tcPr>
            <w:tcW w:type="dxa" w:w="3360"/>
            <w:vAlign w:val="center"/>
          </w:tcPr>
          <w:p>
            <w:r/>
            <w:r>
              <w:rPr>
                <w:rFonts w:ascii="Aptos" w:hAnsi="Aptos"/>
                <w:b w:val="0"/>
                <w:sz w:val="16"/>
              </w:rPr>
              <w:t>Identifier with no biological meaning.</w:t>
            </w:r>
          </w:p>
        </w:tc>
      </w:tr>
      <w:tr>
        <w:trPr>
          <w:cantSplit/>
        </w:trPr>
        <w:tc>
          <w:tcPr>
            <w:tcW w:type="dxa" w:w="3360"/>
            <w:vAlign w:val="center"/>
          </w:tcPr>
          <w:p>
            <w:r/>
            <w:r>
              <w:rPr>
                <w:rFonts w:ascii="Aptos" w:hAnsi="Aptos"/>
                <w:b w:val="0"/>
                <w:sz w:val="16"/>
              </w:rPr>
              <w:t>SDDSRVYR</w:t>
            </w:r>
          </w:p>
        </w:tc>
        <w:tc>
          <w:tcPr>
            <w:tcW w:type="dxa" w:w="3360"/>
            <w:vAlign w:val="center"/>
          </w:tcPr>
          <w:p>
            <w:r/>
            <w:r>
              <w:rPr>
                <w:rFonts w:ascii="Aptos" w:hAnsi="Aptos"/>
                <w:b w:val="0"/>
                <w:sz w:val="16"/>
              </w:rPr>
              <w:t>Exclude as predictor; retain as provenance</w:t>
            </w:r>
          </w:p>
        </w:tc>
        <w:tc>
          <w:tcPr>
            <w:tcW w:type="dxa" w:w="3360"/>
            <w:vAlign w:val="center"/>
          </w:tcPr>
          <w:p>
            <w:r/>
            <w:r>
              <w:rPr>
                <w:rFonts w:ascii="Aptos" w:hAnsi="Aptos"/>
                <w:b w:val="0"/>
                <w:sz w:val="16"/>
              </w:rPr>
              <w:t>Constant 12 in this cycle.</w:t>
            </w:r>
          </w:p>
        </w:tc>
      </w:tr>
      <w:tr>
        <w:trPr>
          <w:cantSplit/>
        </w:trPr>
        <w:tc>
          <w:tcPr>
            <w:tcW w:type="dxa" w:w="3360"/>
            <w:vAlign w:val="center"/>
          </w:tcPr>
          <w:p>
            <w:r/>
            <w:r>
              <w:rPr>
                <w:rFonts w:ascii="Aptos" w:hAnsi="Aptos"/>
                <w:b w:val="0"/>
                <w:sz w:val="16"/>
              </w:rPr>
              <w:t>RIDSTATR</w:t>
            </w:r>
          </w:p>
        </w:tc>
        <w:tc>
          <w:tcPr>
            <w:tcW w:type="dxa" w:w="3360"/>
            <w:vAlign w:val="center"/>
          </w:tcPr>
          <w:p>
            <w:r/>
            <w:r>
              <w:rPr>
                <w:rFonts w:ascii="Aptos" w:hAnsi="Aptos"/>
                <w:b w:val="0"/>
                <w:sz w:val="16"/>
              </w:rPr>
              <w:t>Use for cohort/status logic; generally exclude as predictor</w:t>
            </w:r>
          </w:p>
        </w:tc>
        <w:tc>
          <w:tcPr>
            <w:tcW w:type="dxa" w:w="3360"/>
            <w:vAlign w:val="center"/>
          </w:tcPr>
          <w:p>
            <w:r/>
            <w:r>
              <w:rPr>
                <w:rFonts w:ascii="Aptos" w:hAnsi="Aptos"/>
                <w:b w:val="0"/>
                <w:sz w:val="16"/>
              </w:rPr>
              <w:t>Represents examination participation, not health state.</w:t>
            </w:r>
          </w:p>
        </w:tc>
      </w:tr>
      <w:tr>
        <w:trPr>
          <w:cantSplit/>
        </w:trPr>
        <w:tc>
          <w:tcPr>
            <w:tcW w:type="dxa" w:w="3360"/>
            <w:vAlign w:val="center"/>
          </w:tcPr>
          <w:p>
            <w:r/>
            <w:r>
              <w:rPr>
                <w:rFonts w:ascii="Aptos" w:hAnsi="Aptos"/>
                <w:b w:val="0"/>
                <w:sz w:val="16"/>
              </w:rPr>
              <w:t>RIAGENDR</w:t>
            </w:r>
          </w:p>
        </w:tc>
        <w:tc>
          <w:tcPr>
            <w:tcW w:type="dxa" w:w="3360"/>
            <w:vAlign w:val="center"/>
          </w:tcPr>
          <w:p>
            <w:r/>
            <w:r>
              <w:rPr>
                <w:rFonts w:ascii="Aptos" w:hAnsi="Aptos"/>
                <w:b w:val="0"/>
                <w:sz w:val="16"/>
              </w:rPr>
              <w:t>Retain when clinically/statistically justified</w:t>
            </w:r>
          </w:p>
        </w:tc>
        <w:tc>
          <w:tcPr>
            <w:tcW w:type="dxa" w:w="3360"/>
            <w:vAlign w:val="center"/>
          </w:tcPr>
          <w:p>
            <w:r/>
            <w:r>
              <w:rPr>
                <w:rFonts w:ascii="Aptos" w:hAnsi="Aptos"/>
                <w:b w:val="0"/>
                <w:sz w:val="16"/>
              </w:rPr>
              <w:t>Core demographic covariate; define coding and fairness considerations.</w:t>
            </w:r>
          </w:p>
        </w:tc>
      </w:tr>
      <w:tr>
        <w:trPr>
          <w:cantSplit/>
        </w:trPr>
        <w:tc>
          <w:tcPr>
            <w:tcW w:type="dxa" w:w="3360"/>
            <w:vAlign w:val="center"/>
          </w:tcPr>
          <w:p>
            <w:r/>
            <w:r>
              <w:rPr>
                <w:rFonts w:ascii="Aptos" w:hAnsi="Aptos"/>
                <w:b w:val="0"/>
                <w:sz w:val="16"/>
              </w:rPr>
              <w:t>RIDAGEYR</w:t>
            </w:r>
          </w:p>
        </w:tc>
        <w:tc>
          <w:tcPr>
            <w:tcW w:type="dxa" w:w="3360"/>
            <w:vAlign w:val="center"/>
          </w:tcPr>
          <w:p>
            <w:r/>
            <w:r>
              <w:rPr>
                <w:rFonts w:ascii="Aptos" w:hAnsi="Aptos"/>
                <w:b w:val="0"/>
                <w:sz w:val="16"/>
              </w:rPr>
              <w:t>Retain</w:t>
            </w:r>
          </w:p>
        </w:tc>
        <w:tc>
          <w:tcPr>
            <w:tcW w:type="dxa" w:w="3360"/>
            <w:vAlign w:val="center"/>
          </w:tcPr>
          <w:p>
            <w:r/>
            <w:r>
              <w:rPr>
                <w:rFonts w:ascii="Aptos" w:hAnsi="Aptos"/>
                <w:b w:val="0"/>
                <w:sz w:val="16"/>
              </w:rPr>
              <w:t>Core demographic/clinical context; account for top-coding at 80.</w:t>
            </w:r>
          </w:p>
        </w:tc>
      </w:tr>
      <w:tr>
        <w:trPr>
          <w:cantSplit/>
        </w:trPr>
        <w:tc>
          <w:tcPr>
            <w:tcW w:type="dxa" w:w="3360"/>
            <w:vAlign w:val="center"/>
          </w:tcPr>
          <w:p>
            <w:r/>
            <w:r>
              <w:rPr>
                <w:rFonts w:ascii="Aptos" w:hAnsi="Aptos"/>
                <w:b w:val="0"/>
                <w:sz w:val="16"/>
              </w:rPr>
              <w:t>RIDAGEMN</w:t>
            </w:r>
          </w:p>
        </w:tc>
        <w:tc>
          <w:tcPr>
            <w:tcW w:type="dxa" w:w="3360"/>
            <w:vAlign w:val="center"/>
          </w:tcPr>
          <w:p>
            <w:r/>
            <w:r>
              <w:rPr>
                <w:rFonts w:ascii="Aptos" w:hAnsi="Aptos"/>
                <w:b w:val="0"/>
                <w:sz w:val="16"/>
              </w:rPr>
              <w:t>Conditional pediatric retention</w:t>
            </w:r>
          </w:p>
        </w:tc>
        <w:tc>
          <w:tcPr>
            <w:tcW w:type="dxa" w:w="3360"/>
            <w:vAlign w:val="center"/>
          </w:tcPr>
          <w:p>
            <w:r/>
            <w:r>
              <w:rPr>
                <w:rFonts w:ascii="Aptos" w:hAnsi="Aptos"/>
                <w:b w:val="0"/>
                <w:sz w:val="16"/>
              </w:rPr>
              <w:t>Applicable only to 0–24 months.</w:t>
            </w:r>
          </w:p>
        </w:tc>
      </w:tr>
      <w:tr>
        <w:trPr>
          <w:cantSplit/>
        </w:trPr>
        <w:tc>
          <w:tcPr>
            <w:tcW w:type="dxa" w:w="3360"/>
            <w:vAlign w:val="center"/>
          </w:tcPr>
          <w:p>
            <w:r/>
            <w:r>
              <w:rPr>
                <w:rFonts w:ascii="Aptos" w:hAnsi="Aptos"/>
                <w:b w:val="0"/>
                <w:sz w:val="16"/>
              </w:rPr>
              <w:t>RIDRETH3</w:t>
            </w:r>
          </w:p>
        </w:tc>
        <w:tc>
          <w:tcPr>
            <w:tcW w:type="dxa" w:w="3360"/>
            <w:vAlign w:val="center"/>
          </w:tcPr>
          <w:p>
            <w:r/>
            <w:r>
              <w:rPr>
                <w:rFonts w:ascii="Aptos" w:hAnsi="Aptos"/>
                <w:b w:val="0"/>
                <w:sz w:val="16"/>
              </w:rPr>
              <w:t>Retain as primary race/ethnicity field when relevant</w:t>
            </w:r>
          </w:p>
        </w:tc>
        <w:tc>
          <w:tcPr>
            <w:tcW w:type="dxa" w:w="3360"/>
            <w:vAlign w:val="center"/>
          </w:tcPr>
          <w:p>
            <w:r/>
            <w:r>
              <w:rPr>
                <w:rFonts w:ascii="Aptos" w:hAnsi="Aptos"/>
                <w:b w:val="0"/>
                <w:sz w:val="16"/>
              </w:rPr>
              <w:t>More informative current categorization than RIDRETH1; avoid duplicate encodings.</w:t>
            </w:r>
          </w:p>
        </w:tc>
      </w:tr>
      <w:tr>
        <w:trPr>
          <w:cantSplit/>
        </w:trPr>
        <w:tc>
          <w:tcPr>
            <w:tcW w:type="dxa" w:w="3360"/>
            <w:vAlign w:val="center"/>
          </w:tcPr>
          <w:p>
            <w:r/>
            <w:r>
              <w:rPr>
                <w:rFonts w:ascii="Aptos" w:hAnsi="Aptos"/>
                <w:b w:val="0"/>
                <w:sz w:val="16"/>
              </w:rPr>
              <w:t>RIDRETH1</w:t>
            </w:r>
          </w:p>
        </w:tc>
        <w:tc>
          <w:tcPr>
            <w:tcW w:type="dxa" w:w="3360"/>
            <w:vAlign w:val="center"/>
          </w:tcPr>
          <w:p>
            <w:r/>
            <w:r>
              <w:rPr>
                <w:rFonts w:ascii="Aptos" w:hAnsi="Aptos"/>
                <w:b w:val="0"/>
                <w:sz w:val="16"/>
              </w:rPr>
              <w:t>Usually remove from model when RIDRETH3 is used</w:t>
            </w:r>
          </w:p>
        </w:tc>
        <w:tc>
          <w:tcPr>
            <w:tcW w:type="dxa" w:w="3360"/>
            <w:vAlign w:val="center"/>
          </w:tcPr>
          <w:p>
            <w:r/>
            <w:r>
              <w:rPr>
                <w:rFonts w:ascii="Aptos" w:hAnsi="Aptos"/>
                <w:b w:val="0"/>
                <w:sz w:val="16"/>
              </w:rPr>
              <w:t>Redundant alternate race/ethnicity coding.</w:t>
            </w:r>
          </w:p>
        </w:tc>
      </w:tr>
      <w:tr>
        <w:trPr>
          <w:cantSplit/>
        </w:trPr>
        <w:tc>
          <w:tcPr>
            <w:tcW w:type="dxa" w:w="3360"/>
            <w:vAlign w:val="center"/>
          </w:tcPr>
          <w:p>
            <w:r/>
            <w:r>
              <w:rPr>
                <w:rFonts w:ascii="Aptos" w:hAnsi="Aptos"/>
                <w:b w:val="0"/>
                <w:sz w:val="16"/>
              </w:rPr>
              <w:t>RIDEXMON</w:t>
            </w:r>
          </w:p>
        </w:tc>
        <w:tc>
          <w:tcPr>
            <w:tcW w:type="dxa" w:w="3360"/>
            <w:vAlign w:val="center"/>
          </w:tcPr>
          <w:p>
            <w:r/>
            <w:r>
              <w:rPr>
                <w:rFonts w:ascii="Aptos" w:hAnsi="Aptos"/>
                <w:b w:val="0"/>
                <w:sz w:val="16"/>
              </w:rPr>
              <w:t>Conditional retention</w:t>
            </w:r>
          </w:p>
        </w:tc>
        <w:tc>
          <w:tcPr>
            <w:tcW w:type="dxa" w:w="3360"/>
            <w:vAlign w:val="center"/>
          </w:tcPr>
          <w:p>
            <w:r/>
            <w:r>
              <w:rPr>
                <w:rFonts w:ascii="Aptos" w:hAnsi="Aptos"/>
                <w:b w:val="0"/>
                <w:sz w:val="16"/>
              </w:rPr>
              <w:t>Potential season/collection-period covariate; not a direct biological feature.</w:t>
            </w:r>
          </w:p>
        </w:tc>
      </w:tr>
      <w:tr>
        <w:trPr>
          <w:cantSplit/>
        </w:trPr>
        <w:tc>
          <w:tcPr>
            <w:tcW w:type="dxa" w:w="3360"/>
            <w:vAlign w:val="center"/>
          </w:tcPr>
          <w:p>
            <w:r/>
            <w:r>
              <w:rPr>
                <w:rFonts w:ascii="Aptos" w:hAnsi="Aptos"/>
                <w:b w:val="0"/>
                <w:sz w:val="16"/>
              </w:rPr>
              <w:t>RIDEXAGM</w:t>
            </w:r>
          </w:p>
        </w:tc>
        <w:tc>
          <w:tcPr>
            <w:tcW w:type="dxa" w:w="3360"/>
            <w:vAlign w:val="center"/>
          </w:tcPr>
          <w:p>
            <w:r/>
            <w:r>
              <w:rPr>
                <w:rFonts w:ascii="Aptos" w:hAnsi="Aptos"/>
                <w:b w:val="0"/>
                <w:sz w:val="16"/>
              </w:rPr>
              <w:t>Conditional pediatric retention</w:t>
            </w:r>
          </w:p>
        </w:tc>
        <w:tc>
          <w:tcPr>
            <w:tcW w:type="dxa" w:w="3360"/>
            <w:vAlign w:val="center"/>
          </w:tcPr>
          <w:p>
            <w:r/>
            <w:r>
              <w:rPr>
                <w:rFonts w:ascii="Aptos" w:hAnsi="Aptos"/>
                <w:b w:val="0"/>
                <w:sz w:val="16"/>
              </w:rPr>
              <w:t>Age-in-months representation for participants &lt;=19 at exam.</w:t>
            </w:r>
          </w:p>
        </w:tc>
      </w:tr>
      <w:tr>
        <w:trPr>
          <w:cantSplit/>
        </w:trPr>
        <w:tc>
          <w:tcPr>
            <w:tcW w:type="dxa" w:w="3360"/>
            <w:vAlign w:val="center"/>
          </w:tcPr>
          <w:p>
            <w:r/>
            <w:r>
              <w:rPr>
                <w:rFonts w:ascii="Aptos" w:hAnsi="Aptos"/>
                <w:b w:val="0"/>
                <w:sz w:val="16"/>
              </w:rPr>
              <w:t>DMQMILIZ</w:t>
            </w:r>
          </w:p>
        </w:tc>
        <w:tc>
          <w:tcPr>
            <w:tcW w:type="dxa" w:w="3360"/>
            <w:vAlign w:val="center"/>
          </w:tcPr>
          <w:p>
            <w:r/>
            <w:r>
              <w:rPr>
                <w:rFonts w:ascii="Aptos" w:hAnsi="Aptos"/>
                <w:b w:val="0"/>
                <w:sz w:val="16"/>
              </w:rPr>
              <w:t>Conditional retention</w:t>
            </w:r>
          </w:p>
        </w:tc>
        <w:tc>
          <w:tcPr>
            <w:tcW w:type="dxa" w:w="3360"/>
            <w:vAlign w:val="center"/>
          </w:tcPr>
          <w:p>
            <w:r/>
            <w:r>
              <w:rPr>
                <w:rFonts w:ascii="Aptos" w:hAnsi="Aptos"/>
                <w:b w:val="0"/>
                <w:sz w:val="16"/>
              </w:rPr>
              <w:t>Adult/age-specific social-history feature; preserve response status.</w:t>
            </w:r>
          </w:p>
        </w:tc>
      </w:tr>
      <w:tr>
        <w:trPr>
          <w:cantSplit/>
        </w:trPr>
        <w:tc>
          <w:tcPr>
            <w:tcW w:type="dxa" w:w="3360"/>
            <w:vAlign w:val="center"/>
          </w:tcPr>
          <w:p>
            <w:r/>
            <w:r>
              <w:rPr>
                <w:rFonts w:ascii="Aptos" w:hAnsi="Aptos"/>
                <w:b w:val="0"/>
                <w:sz w:val="16"/>
              </w:rPr>
              <w:t>DMDBORN4</w:t>
            </w:r>
          </w:p>
        </w:tc>
        <w:tc>
          <w:tcPr>
            <w:tcW w:type="dxa" w:w="3360"/>
            <w:vAlign w:val="center"/>
          </w:tcPr>
          <w:p>
            <w:r/>
            <w:r>
              <w:rPr>
                <w:rFonts w:ascii="Aptos" w:hAnsi="Aptos"/>
                <w:b w:val="0"/>
                <w:sz w:val="16"/>
              </w:rPr>
              <w:t>Optional contextual feature</w:t>
            </w:r>
          </w:p>
        </w:tc>
        <w:tc>
          <w:tcPr>
            <w:tcW w:type="dxa" w:w="3360"/>
            <w:vAlign w:val="center"/>
          </w:tcPr>
          <w:p>
            <w:r/>
            <w:r>
              <w:rPr>
                <w:rFonts w:ascii="Aptos" w:hAnsi="Aptos"/>
                <w:b w:val="0"/>
                <w:sz w:val="16"/>
              </w:rPr>
              <w:t>Very low raw missingness; binary birthplace category.</w:t>
            </w:r>
          </w:p>
        </w:tc>
      </w:tr>
      <w:tr>
        <w:trPr>
          <w:cantSplit/>
        </w:trPr>
        <w:tc>
          <w:tcPr>
            <w:tcW w:type="dxa" w:w="3360"/>
            <w:vAlign w:val="center"/>
          </w:tcPr>
          <w:p>
            <w:r/>
            <w:r>
              <w:rPr>
                <w:rFonts w:ascii="Aptos" w:hAnsi="Aptos"/>
                <w:b w:val="0"/>
                <w:sz w:val="16"/>
              </w:rPr>
              <w:t>DMDYRUSR</w:t>
            </w:r>
          </w:p>
        </w:tc>
        <w:tc>
          <w:tcPr>
            <w:tcW w:type="dxa" w:w="3360"/>
            <w:vAlign w:val="center"/>
          </w:tcPr>
          <w:p>
            <w:r/>
            <w:r>
              <w:rPr>
                <w:rFonts w:ascii="Aptos" w:hAnsi="Aptos"/>
                <w:b w:val="0"/>
                <w:sz w:val="16"/>
              </w:rPr>
              <w:t>Conditional retention</w:t>
            </w:r>
          </w:p>
        </w:tc>
        <w:tc>
          <w:tcPr>
            <w:tcW w:type="dxa" w:w="3360"/>
            <w:vAlign w:val="center"/>
          </w:tcPr>
          <w:p>
            <w:r/>
            <w:r>
              <w:rPr>
                <w:rFonts w:ascii="Aptos" w:hAnsi="Aptos"/>
                <w:b w:val="0"/>
                <w:sz w:val="16"/>
              </w:rPr>
              <w:t>Only meaningful for foreign-born participants; high structural missingness.</w:t>
            </w:r>
          </w:p>
        </w:tc>
      </w:tr>
      <w:tr>
        <w:trPr>
          <w:cantSplit/>
        </w:trPr>
        <w:tc>
          <w:tcPr>
            <w:tcW w:type="dxa" w:w="3360"/>
            <w:vAlign w:val="center"/>
          </w:tcPr>
          <w:p>
            <w:r/>
            <w:r>
              <w:rPr>
                <w:rFonts w:ascii="Aptos" w:hAnsi="Aptos"/>
                <w:b w:val="0"/>
                <w:sz w:val="16"/>
              </w:rPr>
              <w:t>DMDEDUC2</w:t>
            </w:r>
          </w:p>
        </w:tc>
        <w:tc>
          <w:tcPr>
            <w:tcW w:type="dxa" w:w="3360"/>
            <w:vAlign w:val="center"/>
          </w:tcPr>
          <w:p>
            <w:r/>
            <w:r>
              <w:rPr>
                <w:rFonts w:ascii="Aptos" w:hAnsi="Aptos"/>
                <w:b w:val="0"/>
                <w:sz w:val="16"/>
              </w:rPr>
              <w:t>Conditional adult retention</w:t>
            </w:r>
          </w:p>
        </w:tc>
        <w:tc>
          <w:tcPr>
            <w:tcW w:type="dxa" w:w="3360"/>
            <w:vAlign w:val="center"/>
          </w:tcPr>
          <w:p>
            <w:r/>
            <w:r>
              <w:rPr>
                <w:rFonts w:ascii="Aptos" w:hAnsi="Aptos"/>
                <w:b w:val="0"/>
                <w:sz w:val="16"/>
              </w:rPr>
              <w:t>Socioeconomic/contextual feature for adults 20+.</w:t>
            </w:r>
          </w:p>
        </w:tc>
      </w:tr>
      <w:tr>
        <w:trPr>
          <w:cantSplit/>
        </w:trPr>
        <w:tc>
          <w:tcPr>
            <w:tcW w:type="dxa" w:w="3360"/>
            <w:vAlign w:val="center"/>
          </w:tcPr>
          <w:p>
            <w:r/>
            <w:r>
              <w:rPr>
                <w:rFonts w:ascii="Aptos" w:hAnsi="Aptos"/>
                <w:b w:val="0"/>
                <w:sz w:val="16"/>
              </w:rPr>
              <w:t>DMDMARTZ</w:t>
            </w:r>
          </w:p>
        </w:tc>
        <w:tc>
          <w:tcPr>
            <w:tcW w:type="dxa" w:w="3360"/>
            <w:vAlign w:val="center"/>
          </w:tcPr>
          <w:p>
            <w:r/>
            <w:r>
              <w:rPr>
                <w:rFonts w:ascii="Aptos" w:hAnsi="Aptos"/>
                <w:b w:val="0"/>
                <w:sz w:val="16"/>
              </w:rPr>
              <w:t>Conditional adult retention</w:t>
            </w:r>
          </w:p>
        </w:tc>
        <w:tc>
          <w:tcPr>
            <w:tcW w:type="dxa" w:w="3360"/>
            <w:vAlign w:val="center"/>
          </w:tcPr>
          <w:p>
            <w:r/>
            <w:r>
              <w:rPr>
                <w:rFonts w:ascii="Aptos" w:hAnsi="Aptos"/>
                <w:b w:val="0"/>
                <w:sz w:val="16"/>
              </w:rPr>
              <w:t>Context variable for adults; not universally applicable.</w:t>
            </w:r>
          </w:p>
        </w:tc>
      </w:tr>
      <w:tr>
        <w:trPr>
          <w:cantSplit/>
        </w:trPr>
        <w:tc>
          <w:tcPr>
            <w:tcW w:type="dxa" w:w="3360"/>
            <w:vAlign w:val="center"/>
          </w:tcPr>
          <w:p>
            <w:r/>
            <w:r>
              <w:rPr>
                <w:rFonts w:ascii="Aptos" w:hAnsi="Aptos"/>
                <w:b w:val="0"/>
                <w:sz w:val="16"/>
              </w:rPr>
              <w:t>RIDEXPRG</w:t>
            </w:r>
          </w:p>
        </w:tc>
        <w:tc>
          <w:tcPr>
            <w:tcW w:type="dxa" w:w="3360"/>
            <w:vAlign w:val="center"/>
          </w:tcPr>
          <w:p>
            <w:r/>
            <w:r>
              <w:rPr>
                <w:rFonts w:ascii="Aptos" w:hAnsi="Aptos"/>
                <w:b w:val="0"/>
                <w:sz w:val="16"/>
              </w:rPr>
              <w:t>Use only in appropriate sex/age-specific analyses</w:t>
            </w:r>
          </w:p>
        </w:tc>
        <w:tc>
          <w:tcPr>
            <w:tcW w:type="dxa" w:w="3360"/>
            <w:vAlign w:val="center"/>
          </w:tcPr>
          <w:p>
            <w:r/>
            <w:r>
              <w:rPr>
                <w:rFonts w:ascii="Aptos" w:hAnsi="Aptos"/>
                <w:b w:val="0"/>
                <w:sz w:val="16"/>
              </w:rPr>
              <w:t>Sensitive, restricted target population; not a general feature.</w:t>
            </w:r>
          </w:p>
        </w:tc>
      </w:tr>
      <w:tr>
        <w:trPr>
          <w:cantSplit/>
        </w:trPr>
        <w:tc>
          <w:tcPr>
            <w:tcW w:type="dxa" w:w="3360"/>
            <w:vAlign w:val="center"/>
          </w:tcPr>
          <w:p>
            <w:r/>
            <w:r>
              <w:rPr>
                <w:rFonts w:ascii="Aptos" w:hAnsi="Aptos"/>
                <w:b w:val="0"/>
                <w:sz w:val="16"/>
              </w:rPr>
              <w:t>DMDHHSIZ</w:t>
            </w:r>
          </w:p>
        </w:tc>
        <w:tc>
          <w:tcPr>
            <w:tcW w:type="dxa" w:w="3360"/>
            <w:vAlign w:val="center"/>
          </w:tcPr>
          <w:p>
            <w:r/>
            <w:r>
              <w:rPr>
                <w:rFonts w:ascii="Aptos" w:hAnsi="Aptos"/>
                <w:b w:val="0"/>
                <w:sz w:val="16"/>
              </w:rPr>
              <w:t>Retain as contextual feature if relevant</w:t>
            </w:r>
          </w:p>
        </w:tc>
        <w:tc>
          <w:tcPr>
            <w:tcW w:type="dxa" w:w="3360"/>
            <w:vAlign w:val="center"/>
          </w:tcPr>
          <w:p>
            <w:r/>
            <w:r>
              <w:rPr>
                <w:rFonts w:ascii="Aptos" w:hAnsi="Aptos"/>
                <w:b w:val="0"/>
                <w:sz w:val="16"/>
              </w:rPr>
              <w:t>Household size is complete and broadly applicable.</w:t>
            </w:r>
          </w:p>
        </w:tc>
      </w:tr>
      <w:tr>
        <w:trPr>
          <w:cantSplit/>
        </w:trPr>
        <w:tc>
          <w:tcPr>
            <w:tcW w:type="dxa" w:w="3360"/>
            <w:vAlign w:val="center"/>
          </w:tcPr>
          <w:p>
            <w:r/>
            <w:r>
              <w:rPr>
                <w:rFonts w:ascii="Aptos" w:hAnsi="Aptos"/>
                <w:b w:val="0"/>
                <w:sz w:val="16"/>
              </w:rPr>
              <w:t>DMDHR* youth variables</w:t>
            </w:r>
          </w:p>
        </w:tc>
        <w:tc>
          <w:tcPr>
            <w:tcW w:type="dxa" w:w="3360"/>
            <w:vAlign w:val="center"/>
          </w:tcPr>
          <w:p>
            <w:r/>
            <w:r>
              <w:rPr>
                <w:rFonts w:ascii="Aptos" w:hAnsi="Aptos"/>
                <w:b w:val="0"/>
                <w:sz w:val="16"/>
              </w:rPr>
              <w:t>Pediatric-only contextual features</w:t>
            </w:r>
          </w:p>
        </w:tc>
        <w:tc>
          <w:tcPr>
            <w:tcW w:type="dxa" w:w="3360"/>
            <w:vAlign w:val="center"/>
          </w:tcPr>
          <w:p>
            <w:r/>
            <w:r>
              <w:rPr>
                <w:rFonts w:ascii="Aptos" w:hAnsi="Aptos"/>
                <w:b w:val="0"/>
                <w:sz w:val="16"/>
              </w:rPr>
              <w:t>Apply to youth; high structural missingness in whole cohort.</w:t>
            </w:r>
          </w:p>
        </w:tc>
      </w:tr>
      <w:tr>
        <w:trPr>
          <w:cantSplit/>
        </w:trPr>
        <w:tc>
          <w:tcPr>
            <w:tcW w:type="dxa" w:w="3360"/>
            <w:vAlign w:val="center"/>
          </w:tcPr>
          <w:p>
            <w:r/>
            <w:r>
              <w:rPr>
                <w:rFonts w:ascii="Aptos" w:hAnsi="Aptos"/>
                <w:b w:val="0"/>
                <w:sz w:val="16"/>
              </w:rPr>
              <w:t>WTINT2YR</w:t>
            </w:r>
          </w:p>
        </w:tc>
        <w:tc>
          <w:tcPr>
            <w:tcW w:type="dxa" w:w="3360"/>
            <w:vAlign w:val="center"/>
          </w:tcPr>
          <w:p>
            <w:r/>
            <w:r>
              <w:rPr>
                <w:rFonts w:ascii="Aptos" w:hAnsi="Aptos"/>
                <w:b w:val="0"/>
                <w:sz w:val="16"/>
              </w:rPr>
              <w:t>Design variable; never predictor</w:t>
            </w:r>
          </w:p>
        </w:tc>
        <w:tc>
          <w:tcPr>
            <w:tcW w:type="dxa" w:w="3360"/>
            <w:vAlign w:val="center"/>
          </w:tcPr>
          <w:p>
            <w:r/>
            <w:r>
              <w:rPr>
                <w:rFonts w:ascii="Aptos" w:hAnsi="Aptos"/>
                <w:b w:val="0"/>
                <w:sz w:val="16"/>
              </w:rPr>
              <w:t>Interview survey weighting.</w:t>
            </w:r>
          </w:p>
        </w:tc>
      </w:tr>
      <w:tr>
        <w:trPr>
          <w:cantSplit/>
        </w:trPr>
        <w:tc>
          <w:tcPr>
            <w:tcW w:type="dxa" w:w="3360"/>
            <w:vAlign w:val="center"/>
          </w:tcPr>
          <w:p>
            <w:r/>
            <w:r>
              <w:rPr>
                <w:rFonts w:ascii="Aptos" w:hAnsi="Aptos"/>
                <w:b w:val="0"/>
                <w:sz w:val="16"/>
              </w:rPr>
              <w:t>WTMEC2YR</w:t>
            </w:r>
          </w:p>
        </w:tc>
        <w:tc>
          <w:tcPr>
            <w:tcW w:type="dxa" w:w="3360"/>
            <w:vAlign w:val="center"/>
          </w:tcPr>
          <w:p>
            <w:r/>
            <w:r>
              <w:rPr>
                <w:rFonts w:ascii="Aptos" w:hAnsi="Aptos"/>
                <w:b w:val="0"/>
                <w:sz w:val="16"/>
              </w:rPr>
              <w:t>Design variable; never predictor</w:t>
            </w:r>
          </w:p>
        </w:tc>
        <w:tc>
          <w:tcPr>
            <w:tcW w:type="dxa" w:w="3360"/>
            <w:vAlign w:val="center"/>
          </w:tcPr>
          <w:p>
            <w:r/>
            <w:r>
              <w:rPr>
                <w:rFonts w:ascii="Aptos" w:hAnsi="Aptos"/>
                <w:b w:val="0"/>
                <w:sz w:val="16"/>
              </w:rPr>
              <w:t>MEC weighting; 0 indicates not examined.</w:t>
            </w:r>
          </w:p>
        </w:tc>
      </w:tr>
      <w:tr>
        <w:trPr>
          <w:cantSplit/>
        </w:trPr>
        <w:tc>
          <w:tcPr>
            <w:tcW w:type="dxa" w:w="3360"/>
            <w:vAlign w:val="center"/>
          </w:tcPr>
          <w:p>
            <w:r/>
            <w:r>
              <w:rPr>
                <w:rFonts w:ascii="Aptos" w:hAnsi="Aptos"/>
                <w:b w:val="0"/>
                <w:sz w:val="16"/>
              </w:rPr>
              <w:t>SDMVSTRA / SDMVPSU</w:t>
            </w:r>
          </w:p>
        </w:tc>
        <w:tc>
          <w:tcPr>
            <w:tcW w:type="dxa" w:w="3360"/>
            <w:vAlign w:val="center"/>
          </w:tcPr>
          <w:p>
            <w:r/>
            <w:r>
              <w:rPr>
                <w:rFonts w:ascii="Aptos" w:hAnsi="Aptos"/>
                <w:b w:val="0"/>
                <w:sz w:val="16"/>
              </w:rPr>
              <w:t>Design variables; never predictor</w:t>
            </w:r>
          </w:p>
        </w:tc>
        <w:tc>
          <w:tcPr>
            <w:tcW w:type="dxa" w:w="3360"/>
            <w:vAlign w:val="center"/>
          </w:tcPr>
          <w:p>
            <w:r/>
            <w:r>
              <w:rPr>
                <w:rFonts w:ascii="Aptos" w:hAnsi="Aptos"/>
                <w:b w:val="0"/>
                <w:sz w:val="16"/>
              </w:rPr>
              <w:t>Required for survey variance estimation.</w:t>
            </w:r>
          </w:p>
        </w:tc>
      </w:tr>
      <w:tr>
        <w:trPr>
          <w:cantSplit/>
        </w:trPr>
        <w:tc>
          <w:tcPr>
            <w:tcW w:type="dxa" w:w="3360"/>
            <w:vAlign w:val="center"/>
          </w:tcPr>
          <w:p>
            <w:r/>
            <w:r>
              <w:rPr>
                <w:rFonts w:ascii="Aptos" w:hAnsi="Aptos"/>
                <w:b w:val="0"/>
                <w:sz w:val="16"/>
              </w:rPr>
              <w:t>INDFMPIR</w:t>
            </w:r>
          </w:p>
        </w:tc>
        <w:tc>
          <w:tcPr>
            <w:tcW w:type="dxa" w:w="3360"/>
            <w:vAlign w:val="center"/>
          </w:tcPr>
          <w:p>
            <w:r/>
            <w:r>
              <w:rPr>
                <w:rFonts w:ascii="Aptos" w:hAnsi="Aptos"/>
                <w:b w:val="0"/>
                <w:sz w:val="16"/>
              </w:rPr>
              <w:t>Retain with censoring flag or categorized form</w:t>
            </w:r>
          </w:p>
        </w:tc>
        <w:tc>
          <w:tcPr>
            <w:tcW w:type="dxa" w:w="3360"/>
            <w:vAlign w:val="center"/>
          </w:tcPr>
          <w:p>
            <w:r/>
            <w:r>
              <w:rPr>
                <w:rFonts w:ascii="Aptos" w:hAnsi="Aptos"/>
                <w:b w:val="0"/>
                <w:sz w:val="16"/>
              </w:rPr>
              <w:t>2,149 values represent &gt;=5.00; 2,041 blank.</w:t>
            </w:r>
          </w:p>
        </w:tc>
      </w:tr>
    </w:tbl>
    <w:p>
      <w:pPr>
        <w:pStyle w:val="Heading1"/>
      </w:pPr>
      <w:r>
        <w:t>7. Should Missing Data Be Removed, Replaced, or Imputed?</w:t>
      </w:r>
    </w:p>
    <w:p>
      <w:r>
        <w:t>There is no scientifically defensible single answer for all DEMO_L variables. The decision should be made per variable and per study population. The most important constraint is that the imputation method must not manufacture information that the NHANES release deliberately withholds or that was never collected.</w:t>
      </w:r>
    </w:p>
    <w:p>
      <w:pPr>
        <w:pStyle w:val="Heading2"/>
      </w:pPr>
      <w:r>
        <w:t>7.1 Option A — Complete-case deletion</w:t>
      </w:r>
    </w:p>
    <w:p>
      <w:r>
        <w:t>Complete-case analysis is easy to implement and can serve as a baseline, but it is poorly suited as the default for the MIR project. In DEMO_L, complete-case selection would disproportionately remove children, interview-only participants, and participants outside the target populations of age- or subgroup-specific questions. This would change the analytic population and may induce selection bias. It should therefore be used primarily as a sensitivity analysis and never be justified solely because it is convenient.</w:t>
      </w:r>
    </w:p>
    <w:p>
      <w:pPr>
        <w:pStyle w:val="Heading2"/>
      </w:pPr>
      <w:r>
        <w:t>7.2 Option B — Global single-value imputation</w:t>
      </w:r>
    </w:p>
    <w:p>
      <w:r>
        <w:t>Replacing every missing value with the mean, median, mode, zero, or a sentinel such as -1 is not recommended. It destroys the distinction between not applicable and observed, can introduce artificial mass points, and can teach a predictive model that survey-design artifacts are physiological signals.</w:t>
      </w:r>
    </w:p>
    <w:p>
      <w:pPr>
        <w:pStyle w:val="Heading2"/>
      </w:pPr>
      <w:r>
        <w:t>7.3 Option C — Missingness indicators</w:t>
      </w:r>
    </w:p>
    <w:p>
      <w:r>
        <w:t>For eligible variables where the fact of non-observation may itself carry information, an explicit availability indicator can be useful. The indicator should represent the status of observation, not imply that missing means abnormal. For example, a model can receive a laboratory value plus an indicator that the test was unavailable. This is aligned with MIR's intended uncertainty-aware architecture.</w:t>
      </w:r>
    </w:p>
    <w:p>
      <w:pPr>
        <w:pStyle w:val="Heading2"/>
      </w:pPr>
      <w:r>
        <w:t>7.4 Option D — Multiple imputation</w:t>
      </w:r>
    </w:p>
    <w:p>
      <w:r>
        <w:t>Multiple imputation is appropriate only after restricting the variable to participants for whom the observation is conceptually eligible and potentially missing for an imputable reason. A defensible imputation model should include predictors of the missing value and missingness process, relevant demographic and clinical variables, and the survey-design structure where appropriate. For machine learning, the imputation model must be fit inside the training fold to prevent information leakage. Multiple completed datasets should be propagated through analysis where inferential uncertainty is required.</w:t>
      </w:r>
    </w:p>
    <w:p>
      <w:pPr>
        <w:pStyle w:val="Heading2"/>
      </w:pPr>
      <w:r>
        <w:t>7.5 Option E — Native missing-value models</w:t>
      </w:r>
    </w:p>
    <w:p>
      <w:r>
        <w:t>Tree-based gradient boosting methods and other algorithms that natively route missing values provide an important benchmark because they avoid forcing a synthetic value into every missing cell. For MIR, these models should be compared with imputation-based pipelines rather than assumed superior. The correct choice should be evidence-driven using calibration, discrimination, robustness to missingness, and subgroup performance.</w:t>
      </w:r>
    </w:p>
    <w:p>
      <w:pPr>
        <w:pStyle w:val="Heading1"/>
      </w:pPr>
      <w:r>
        <w:t>8. Variable-Specific Missingness and Transformation Rules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D9E2F3"/>
          </w:tcPr>
          <w:p>
            <w:r/>
            <w:r>
              <w:rPr>
                <w:rFonts w:ascii="Aptos" w:hAnsi="Aptos"/>
                <w:b/>
                <w:sz w:val="16"/>
              </w:rPr>
              <w:t>Variable</w:t>
            </w:r>
          </w:p>
        </w:tc>
        <w:tc>
          <w:tcPr>
            <w:tcW w:type="dxa" w:w="3360"/>
            <w:vAlign w:val="center"/>
            <w:shd w:fill="D9E2F3"/>
          </w:tcPr>
          <w:p>
            <w:r/>
            <w:r>
              <w:rPr>
                <w:rFonts w:ascii="Aptos" w:hAnsi="Aptos"/>
                <w:b/>
                <w:sz w:val="16"/>
              </w:rPr>
              <w:t>Recommended preprocessing</w:t>
            </w:r>
          </w:p>
        </w:tc>
        <w:tc>
          <w:tcPr>
            <w:tcW w:type="dxa" w:w="3360"/>
            <w:vAlign w:val="center"/>
            <w:shd w:fill="D9E2F3"/>
          </w:tcPr>
          <w:p>
            <w:r/>
            <w:r>
              <w:rPr>
                <w:rFonts w:ascii="Aptos" w:hAnsi="Aptos"/>
                <w:b/>
                <w:sz w:val="16"/>
              </w:rPr>
              <w:t>Rationale</w:t>
            </w:r>
          </w:p>
        </w:tc>
      </w:tr>
      <w:tr>
        <w:trPr>
          <w:cantSplit/>
        </w:trPr>
        <w:tc>
          <w:tcPr>
            <w:tcW w:type="dxa" w:w="3360"/>
            <w:vAlign w:val="center"/>
          </w:tcPr>
          <w:p>
            <w:r/>
            <w:r>
              <w:rPr>
                <w:rFonts w:ascii="Aptos" w:hAnsi="Aptos"/>
                <w:b w:val="0"/>
                <w:sz w:val="16"/>
              </w:rPr>
              <w:t>RIDAGEMN</w:t>
            </w:r>
          </w:p>
        </w:tc>
        <w:tc>
          <w:tcPr>
            <w:tcW w:type="dxa" w:w="3360"/>
            <w:vAlign w:val="center"/>
          </w:tcPr>
          <w:p>
            <w:r/>
            <w:r>
              <w:rPr>
                <w:rFonts w:ascii="Aptos" w:hAnsi="Aptos"/>
                <w:b w:val="0"/>
                <w:sz w:val="16"/>
              </w:rPr>
              <w:t>Keep blank outside 0–24 month applicability.</w:t>
            </w:r>
          </w:p>
        </w:tc>
        <w:tc>
          <w:tcPr>
            <w:tcW w:type="dxa" w:w="3360"/>
            <w:vAlign w:val="center"/>
          </w:tcPr>
          <w:p>
            <w:r/>
            <w:r>
              <w:rPr>
                <w:rFonts w:ascii="Aptos" w:hAnsi="Aptos"/>
                <w:b w:val="0"/>
                <w:sz w:val="16"/>
              </w:rPr>
              <w:t>Create AGE_MONTH_APPLICABLE; no global imputation.</w:t>
            </w:r>
          </w:p>
        </w:tc>
      </w:tr>
      <w:tr>
        <w:trPr>
          <w:cantSplit/>
        </w:trPr>
        <w:tc>
          <w:tcPr>
            <w:tcW w:type="dxa" w:w="3360"/>
            <w:vAlign w:val="center"/>
          </w:tcPr>
          <w:p>
            <w:r/>
            <w:r>
              <w:rPr>
                <w:rFonts w:ascii="Aptos" w:hAnsi="Aptos"/>
                <w:b w:val="0"/>
                <w:sz w:val="16"/>
              </w:rPr>
              <w:t>RIDEXAGM</w:t>
            </w:r>
          </w:p>
        </w:tc>
        <w:tc>
          <w:tcPr>
            <w:tcW w:type="dxa" w:w="3360"/>
            <w:vAlign w:val="center"/>
          </w:tcPr>
          <w:p>
            <w:r/>
            <w:r>
              <w:rPr>
                <w:rFonts w:ascii="Aptos" w:hAnsi="Aptos"/>
                <w:b w:val="0"/>
                <w:sz w:val="16"/>
              </w:rPr>
              <w:t>Use only for participants &lt;=19 at exam.</w:t>
            </w:r>
          </w:p>
        </w:tc>
        <w:tc>
          <w:tcPr>
            <w:tcW w:type="dxa" w:w="3360"/>
            <w:vAlign w:val="center"/>
          </w:tcPr>
          <w:p>
            <w:r/>
            <w:r>
              <w:rPr>
                <w:rFonts w:ascii="Aptos" w:hAnsi="Aptos"/>
                <w:b w:val="0"/>
                <w:sz w:val="16"/>
              </w:rPr>
              <w:t>Do not impute for adults; consider using RIDAGEYR otherwise.</w:t>
            </w:r>
          </w:p>
        </w:tc>
      </w:tr>
      <w:tr>
        <w:trPr>
          <w:cantSplit/>
        </w:trPr>
        <w:tc>
          <w:tcPr>
            <w:tcW w:type="dxa" w:w="3360"/>
            <w:vAlign w:val="center"/>
          </w:tcPr>
          <w:p>
            <w:r/>
            <w:r>
              <w:rPr>
                <w:rFonts w:ascii="Aptos" w:hAnsi="Aptos"/>
                <w:b w:val="0"/>
                <w:sz w:val="16"/>
              </w:rPr>
              <w:t>DMDYRUSR</w:t>
            </w:r>
          </w:p>
        </w:tc>
        <w:tc>
          <w:tcPr>
            <w:tcW w:type="dxa" w:w="3360"/>
            <w:vAlign w:val="center"/>
          </w:tcPr>
          <w:p>
            <w:r/>
            <w:r>
              <w:rPr>
                <w:rFonts w:ascii="Aptos" w:hAnsi="Aptos"/>
                <w:b w:val="0"/>
                <w:sz w:val="16"/>
              </w:rPr>
              <w:t>7/9 special responses should be status-coded; blank is largely structural for U.S.-born participants.</w:t>
            </w:r>
          </w:p>
        </w:tc>
        <w:tc>
          <w:tcPr>
            <w:tcW w:type="dxa" w:w="3360"/>
            <w:vAlign w:val="center"/>
          </w:tcPr>
          <w:p>
            <w:r/>
            <w:r>
              <w:rPr>
                <w:rFonts w:ascii="Aptos" w:hAnsi="Aptos"/>
                <w:b w:val="0"/>
                <w:sz w:val="16"/>
              </w:rPr>
              <w:t>Retain foreign-born applicability indicator; do not fill with population median.</w:t>
            </w:r>
          </w:p>
        </w:tc>
      </w:tr>
      <w:tr>
        <w:trPr>
          <w:cantSplit/>
        </w:trPr>
        <w:tc>
          <w:tcPr>
            <w:tcW w:type="dxa" w:w="3360"/>
            <w:vAlign w:val="center"/>
          </w:tcPr>
          <w:p>
            <w:r/>
            <w:r>
              <w:rPr>
                <w:rFonts w:ascii="Aptos" w:hAnsi="Aptos"/>
                <w:b w:val="0"/>
                <w:sz w:val="16"/>
              </w:rPr>
              <w:t>DMDEDUC2</w:t>
            </w:r>
          </w:p>
        </w:tc>
        <w:tc>
          <w:tcPr>
            <w:tcW w:type="dxa" w:w="3360"/>
            <w:vAlign w:val="center"/>
          </w:tcPr>
          <w:p>
            <w:r/>
            <w:r>
              <w:rPr>
                <w:rFonts w:ascii="Aptos" w:hAnsi="Aptos"/>
                <w:b w:val="0"/>
                <w:sz w:val="16"/>
              </w:rPr>
              <w:t>7/9 should be converted to response-state codes before modeling.</w:t>
            </w:r>
          </w:p>
        </w:tc>
        <w:tc>
          <w:tcPr>
            <w:tcW w:type="dxa" w:w="3360"/>
            <w:vAlign w:val="center"/>
          </w:tcPr>
          <w:p>
            <w:r/>
            <w:r>
              <w:rPr>
                <w:rFonts w:ascii="Aptos" w:hAnsi="Aptos"/>
                <w:b w:val="0"/>
                <w:sz w:val="16"/>
              </w:rPr>
              <w:t>Within eligible adults, compare categorical missing-state handling vs multiple imputation.</w:t>
            </w:r>
          </w:p>
        </w:tc>
      </w:tr>
      <w:tr>
        <w:trPr>
          <w:cantSplit/>
        </w:trPr>
        <w:tc>
          <w:tcPr>
            <w:tcW w:type="dxa" w:w="3360"/>
            <w:vAlign w:val="center"/>
          </w:tcPr>
          <w:p>
            <w:r/>
            <w:r>
              <w:rPr>
                <w:rFonts w:ascii="Aptos" w:hAnsi="Aptos"/>
                <w:b w:val="0"/>
                <w:sz w:val="16"/>
              </w:rPr>
              <w:t>DMDMARTZ</w:t>
            </w:r>
          </w:p>
        </w:tc>
        <w:tc>
          <w:tcPr>
            <w:tcW w:type="dxa" w:w="3360"/>
            <w:vAlign w:val="center"/>
          </w:tcPr>
          <w:p>
            <w:r/>
            <w:r>
              <w:rPr>
                <w:rFonts w:ascii="Aptos" w:hAnsi="Aptos"/>
                <w:b w:val="0"/>
                <w:sz w:val="16"/>
              </w:rPr>
              <w:t>77/99 are response codes, not continuous values.</w:t>
            </w:r>
          </w:p>
        </w:tc>
        <w:tc>
          <w:tcPr>
            <w:tcW w:type="dxa" w:w="3360"/>
            <w:vAlign w:val="center"/>
          </w:tcPr>
          <w:p>
            <w:r/>
            <w:r>
              <w:rPr>
                <w:rFonts w:ascii="Aptos" w:hAnsi="Aptos"/>
                <w:b w:val="0"/>
                <w:sz w:val="16"/>
              </w:rPr>
              <w:t>Treat as categorical/status; no numeric imputation.</w:t>
            </w:r>
          </w:p>
        </w:tc>
      </w:tr>
      <w:tr>
        <w:trPr>
          <w:cantSplit/>
        </w:trPr>
        <w:tc>
          <w:tcPr>
            <w:tcW w:type="dxa" w:w="3360"/>
            <w:vAlign w:val="center"/>
          </w:tcPr>
          <w:p>
            <w:r/>
            <w:r>
              <w:rPr>
                <w:rFonts w:ascii="Aptos" w:hAnsi="Aptos"/>
                <w:b w:val="0"/>
                <w:sz w:val="16"/>
              </w:rPr>
              <w:t>DMQMILIZ</w:t>
            </w:r>
          </w:p>
        </w:tc>
        <w:tc>
          <w:tcPr>
            <w:tcW w:type="dxa" w:w="3360"/>
            <w:vAlign w:val="center"/>
          </w:tcPr>
          <w:p>
            <w:r/>
            <w:r>
              <w:rPr>
                <w:rFonts w:ascii="Aptos" w:hAnsi="Aptos"/>
                <w:b w:val="0"/>
                <w:sz w:val="16"/>
              </w:rPr>
              <w:t>7/9 are special response codes.</w:t>
            </w:r>
          </w:p>
        </w:tc>
        <w:tc>
          <w:tcPr>
            <w:tcW w:type="dxa" w:w="3360"/>
            <w:vAlign w:val="center"/>
          </w:tcPr>
          <w:p>
            <w:r/>
            <w:r>
              <w:rPr>
                <w:rFonts w:ascii="Aptos" w:hAnsi="Aptos"/>
                <w:b w:val="0"/>
                <w:sz w:val="16"/>
              </w:rPr>
              <w:t>Treat as categorical/status, not numerical continuous.</w:t>
            </w:r>
          </w:p>
        </w:tc>
      </w:tr>
      <w:tr>
        <w:trPr>
          <w:cantSplit/>
        </w:trPr>
        <w:tc>
          <w:tcPr>
            <w:tcW w:type="dxa" w:w="3360"/>
            <w:vAlign w:val="center"/>
          </w:tcPr>
          <w:p>
            <w:r/>
            <w:r>
              <w:rPr>
                <w:rFonts w:ascii="Aptos" w:hAnsi="Aptos"/>
                <w:b w:val="0"/>
                <w:sz w:val="16"/>
              </w:rPr>
              <w:t>RIDEXPRG</w:t>
            </w:r>
          </w:p>
        </w:tc>
        <w:tc>
          <w:tcPr>
            <w:tcW w:type="dxa" w:w="3360"/>
            <w:vAlign w:val="center"/>
          </w:tcPr>
          <w:p>
            <w:r/>
            <w:r>
              <w:rPr>
                <w:rFonts w:ascii="Aptos" w:hAnsi="Aptos"/>
                <w:b w:val="0"/>
                <w:sz w:val="16"/>
              </w:rPr>
              <w:t>Only relevant for females 20–44 and examined participants.</w:t>
            </w:r>
          </w:p>
        </w:tc>
        <w:tc>
          <w:tcPr>
            <w:tcW w:type="dxa" w:w="3360"/>
            <w:vAlign w:val="center"/>
          </w:tcPr>
          <w:p>
            <w:r/>
            <w:r>
              <w:rPr>
                <w:rFonts w:ascii="Aptos" w:hAnsi="Aptos"/>
                <w:b w:val="0"/>
                <w:sz w:val="16"/>
              </w:rPr>
              <w:t>No general-population imputation.</w:t>
            </w:r>
          </w:p>
        </w:tc>
      </w:tr>
      <w:tr>
        <w:trPr>
          <w:cantSplit/>
        </w:trPr>
        <w:tc>
          <w:tcPr>
            <w:tcW w:type="dxa" w:w="3360"/>
            <w:vAlign w:val="center"/>
          </w:tcPr>
          <w:p>
            <w:r/>
            <w:r>
              <w:rPr>
                <w:rFonts w:ascii="Aptos" w:hAnsi="Aptos"/>
                <w:b w:val="0"/>
                <w:sz w:val="16"/>
              </w:rPr>
              <w:t>RIDEXMON</w:t>
            </w:r>
          </w:p>
        </w:tc>
        <w:tc>
          <w:tcPr>
            <w:tcW w:type="dxa" w:w="3360"/>
            <w:vAlign w:val="center"/>
          </w:tcPr>
          <w:p>
            <w:r/>
            <w:r>
              <w:rPr>
                <w:rFonts w:ascii="Aptos" w:hAnsi="Aptos"/>
                <w:b w:val="0"/>
                <w:sz w:val="16"/>
              </w:rPr>
              <w:t>Missingness exactly tracks interview-only participants in supplied data.</w:t>
            </w:r>
          </w:p>
        </w:tc>
        <w:tc>
          <w:tcPr>
            <w:tcW w:type="dxa" w:w="3360"/>
            <w:vAlign w:val="center"/>
          </w:tcPr>
          <w:p>
            <w:r/>
            <w:r>
              <w:rPr>
                <w:rFonts w:ascii="Aptos" w:hAnsi="Aptos"/>
                <w:b w:val="0"/>
                <w:sz w:val="16"/>
              </w:rPr>
              <w:t>Use RIDSTATR to interpret availability; no imputation.</w:t>
            </w:r>
          </w:p>
        </w:tc>
      </w:tr>
      <w:tr>
        <w:trPr>
          <w:cantSplit/>
        </w:trPr>
        <w:tc>
          <w:tcPr>
            <w:tcW w:type="dxa" w:w="3360"/>
            <w:vAlign w:val="center"/>
          </w:tcPr>
          <w:p>
            <w:r/>
            <w:r>
              <w:rPr>
                <w:rFonts w:ascii="Aptos" w:hAnsi="Aptos"/>
                <w:b w:val="0"/>
                <w:sz w:val="16"/>
              </w:rPr>
              <w:t>WTMEC2YR</w:t>
            </w:r>
          </w:p>
        </w:tc>
        <w:tc>
          <w:tcPr>
            <w:tcW w:type="dxa" w:w="3360"/>
            <w:vAlign w:val="center"/>
          </w:tcPr>
          <w:p>
            <w:r/>
            <w:r>
              <w:rPr>
                <w:rFonts w:ascii="Aptos" w:hAnsi="Aptos"/>
                <w:b w:val="0"/>
                <w:sz w:val="16"/>
              </w:rPr>
              <w:t>0 means not MEC examined.</w:t>
            </w:r>
          </w:p>
        </w:tc>
        <w:tc>
          <w:tcPr>
            <w:tcW w:type="dxa" w:w="3360"/>
            <w:vAlign w:val="center"/>
          </w:tcPr>
          <w:p>
            <w:r/>
            <w:r>
              <w:rPr>
                <w:rFonts w:ascii="Aptos" w:hAnsi="Aptos"/>
                <w:b w:val="0"/>
                <w:sz w:val="16"/>
              </w:rPr>
              <w:t>Do not replace 0.</w:t>
            </w:r>
          </w:p>
        </w:tc>
      </w:tr>
      <w:tr>
        <w:trPr>
          <w:cantSplit/>
        </w:trPr>
        <w:tc>
          <w:tcPr>
            <w:tcW w:type="dxa" w:w="3360"/>
            <w:vAlign w:val="center"/>
          </w:tcPr>
          <w:p>
            <w:r/>
            <w:r>
              <w:rPr>
                <w:rFonts w:ascii="Aptos" w:hAnsi="Aptos"/>
                <w:b w:val="0"/>
                <w:sz w:val="16"/>
              </w:rPr>
              <w:t>INDFMPIR</w:t>
            </w:r>
          </w:p>
        </w:tc>
        <w:tc>
          <w:tcPr>
            <w:tcW w:type="dxa" w:w="3360"/>
            <w:vAlign w:val="center"/>
          </w:tcPr>
          <w:p>
            <w:r/>
            <w:r>
              <w:rPr>
                <w:rFonts w:ascii="Aptos" w:hAnsi="Aptos"/>
                <w:b w:val="0"/>
                <w:sz w:val="16"/>
              </w:rPr>
              <w:t>5 means &gt;=5.00, not exactly 5.</w:t>
            </w:r>
          </w:p>
        </w:tc>
        <w:tc>
          <w:tcPr>
            <w:tcW w:type="dxa" w:w="3360"/>
            <w:vAlign w:val="center"/>
          </w:tcPr>
          <w:p>
            <w:r/>
            <w:r>
              <w:rPr>
                <w:rFonts w:ascii="Aptos" w:hAnsi="Aptos"/>
                <w:b w:val="0"/>
                <w:sz w:val="16"/>
              </w:rPr>
              <w:t>Treat as censored/ordinal upper category; add PIR_CENSORED flag.</w:t>
            </w:r>
          </w:p>
        </w:tc>
      </w:tr>
      <w:tr>
        <w:trPr>
          <w:cantSplit/>
        </w:trPr>
        <w:tc>
          <w:tcPr>
            <w:tcW w:type="dxa" w:w="3360"/>
            <w:vAlign w:val="center"/>
          </w:tcPr>
          <w:p>
            <w:r/>
            <w:r>
              <w:rPr>
                <w:rFonts w:ascii="Aptos" w:hAnsi="Aptos"/>
                <w:b w:val="0"/>
                <w:sz w:val="16"/>
              </w:rPr>
              <w:t>RIDAGEYR</w:t>
            </w:r>
          </w:p>
        </w:tc>
        <w:tc>
          <w:tcPr>
            <w:tcW w:type="dxa" w:w="3360"/>
            <w:vAlign w:val="center"/>
          </w:tcPr>
          <w:p>
            <w:r/>
            <w:r>
              <w:rPr>
                <w:rFonts w:ascii="Aptos" w:hAnsi="Aptos"/>
                <w:b w:val="0"/>
                <w:sz w:val="16"/>
              </w:rPr>
              <w:t>80 means 80 years or older.</w:t>
            </w:r>
          </w:p>
        </w:tc>
        <w:tc>
          <w:tcPr>
            <w:tcW w:type="dxa" w:w="3360"/>
            <w:vAlign w:val="center"/>
          </w:tcPr>
          <w:p>
            <w:r/>
            <w:r>
              <w:rPr>
                <w:rFonts w:ascii="Aptos" w:hAnsi="Aptos"/>
                <w:b w:val="0"/>
                <w:sz w:val="16"/>
              </w:rPr>
              <w:t>Add AGE_TOPCODED flag; do not reconstruct exact age.</w:t>
            </w:r>
          </w:p>
        </w:tc>
      </w:tr>
    </w:tbl>
    <w:p>
      <w:pPr>
        <w:pStyle w:val="Heading1"/>
      </w:pPr>
      <w:r>
        <w:t>9. Parameters for an Evidence-Based Imputation Framework</w:t>
      </w:r>
    </w:p>
    <w:p>
      <w:r>
        <w:t>When imputable missingness is identified in later NHANES components, MIR should specify the imputation method through a reproducible parameter contract rather than choosing a method ad hoc.</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D9E2F3"/>
          </w:tcPr>
          <w:p>
            <w:r/>
            <w:r>
              <w:rPr>
                <w:rFonts w:ascii="Aptos" w:hAnsi="Aptos"/>
                <w:b/>
                <w:sz w:val="16"/>
              </w:rPr>
              <w:t>Parameter</w:t>
            </w:r>
          </w:p>
        </w:tc>
        <w:tc>
          <w:tcPr>
            <w:tcW w:type="dxa" w:w="3360"/>
            <w:vAlign w:val="center"/>
            <w:shd w:fill="D9E2F3"/>
          </w:tcPr>
          <w:p>
            <w:r/>
            <w:r>
              <w:rPr>
                <w:rFonts w:ascii="Aptos" w:hAnsi="Aptos"/>
                <w:b/>
                <w:sz w:val="16"/>
              </w:rPr>
              <w:t>Recommended starting rule</w:t>
            </w:r>
          </w:p>
        </w:tc>
        <w:tc>
          <w:tcPr>
            <w:tcW w:type="dxa" w:w="3360"/>
            <w:vAlign w:val="center"/>
            <w:shd w:fill="D9E2F3"/>
          </w:tcPr>
          <w:p>
            <w:r/>
            <w:r>
              <w:rPr>
                <w:rFonts w:ascii="Aptos" w:hAnsi="Aptos"/>
                <w:b/>
                <w:sz w:val="16"/>
              </w:rPr>
              <w:t>Why</w:t>
            </w:r>
          </w:p>
        </w:tc>
      </w:tr>
      <w:tr>
        <w:trPr>
          <w:cantSplit/>
        </w:trPr>
        <w:tc>
          <w:tcPr>
            <w:tcW w:type="dxa" w:w="3360"/>
            <w:vAlign w:val="center"/>
          </w:tcPr>
          <w:p>
            <w:r/>
            <w:r>
              <w:rPr>
                <w:rFonts w:ascii="Aptos" w:hAnsi="Aptos"/>
                <w:b w:val="0"/>
                <w:sz w:val="16"/>
              </w:rPr>
              <w:t>Eligibility filter</w:t>
            </w:r>
          </w:p>
        </w:tc>
        <w:tc>
          <w:tcPr>
            <w:tcW w:type="dxa" w:w="3360"/>
            <w:vAlign w:val="center"/>
          </w:tcPr>
          <w:p>
            <w:r/>
            <w:r>
              <w:rPr>
                <w:rFonts w:ascii="Aptos" w:hAnsi="Aptos"/>
                <w:b w:val="0"/>
                <w:sz w:val="16"/>
              </w:rPr>
              <w:t>Impute only observations conceptually eligible for the variable</w:t>
            </w:r>
          </w:p>
        </w:tc>
        <w:tc>
          <w:tcPr>
            <w:tcW w:type="dxa" w:w="3360"/>
            <w:vAlign w:val="center"/>
          </w:tcPr>
          <w:p>
            <w:r/>
            <w:r>
              <w:rPr>
                <w:rFonts w:ascii="Aptos" w:hAnsi="Aptos"/>
                <w:b w:val="0"/>
                <w:sz w:val="16"/>
              </w:rPr>
              <w:t>Prevents structural missingness from being treated as random missingness.</w:t>
            </w:r>
          </w:p>
        </w:tc>
      </w:tr>
      <w:tr>
        <w:trPr>
          <w:cantSplit/>
        </w:trPr>
        <w:tc>
          <w:tcPr>
            <w:tcW w:type="dxa" w:w="3360"/>
            <w:vAlign w:val="center"/>
          </w:tcPr>
          <w:p>
            <w:r/>
            <w:r>
              <w:rPr>
                <w:rFonts w:ascii="Aptos" w:hAnsi="Aptos"/>
                <w:b w:val="0"/>
                <w:sz w:val="16"/>
              </w:rPr>
              <w:t>Unit / scale</w:t>
            </w:r>
          </w:p>
        </w:tc>
        <w:tc>
          <w:tcPr>
            <w:tcW w:type="dxa" w:w="3360"/>
            <w:vAlign w:val="center"/>
          </w:tcPr>
          <w:p>
            <w:r/>
            <w:r>
              <w:rPr>
                <w:rFonts w:ascii="Aptos" w:hAnsi="Aptos"/>
                <w:b w:val="0"/>
                <w:sz w:val="16"/>
              </w:rPr>
              <w:t>Impute on analysis scale; respect units and transforms</w:t>
            </w:r>
          </w:p>
        </w:tc>
        <w:tc>
          <w:tcPr>
            <w:tcW w:type="dxa" w:w="3360"/>
            <w:vAlign w:val="center"/>
          </w:tcPr>
          <w:p>
            <w:r/>
            <w:r>
              <w:rPr>
                <w:rFonts w:ascii="Aptos" w:hAnsi="Aptos"/>
                <w:b w:val="0"/>
                <w:sz w:val="16"/>
              </w:rPr>
              <w:t>Avoids invalid values.</w:t>
            </w:r>
          </w:p>
        </w:tc>
      </w:tr>
      <w:tr>
        <w:trPr>
          <w:cantSplit/>
        </w:trPr>
        <w:tc>
          <w:tcPr>
            <w:tcW w:type="dxa" w:w="3360"/>
            <w:vAlign w:val="center"/>
          </w:tcPr>
          <w:p>
            <w:r/>
            <w:r>
              <w:rPr>
                <w:rFonts w:ascii="Aptos" w:hAnsi="Aptos"/>
                <w:b w:val="0"/>
                <w:sz w:val="16"/>
              </w:rPr>
              <w:t>Bounds</w:t>
            </w:r>
          </w:p>
        </w:tc>
        <w:tc>
          <w:tcPr>
            <w:tcW w:type="dxa" w:w="3360"/>
            <w:vAlign w:val="center"/>
          </w:tcPr>
          <w:p>
            <w:r/>
            <w:r>
              <w:rPr>
                <w:rFonts w:ascii="Aptos" w:hAnsi="Aptos"/>
                <w:b w:val="0"/>
                <w:sz w:val="16"/>
              </w:rPr>
              <w:t>Enforce physiological/documented bounds from codebook</w:t>
            </w:r>
          </w:p>
        </w:tc>
        <w:tc>
          <w:tcPr>
            <w:tcW w:type="dxa" w:w="3360"/>
            <w:vAlign w:val="center"/>
          </w:tcPr>
          <w:p>
            <w:r/>
            <w:r>
              <w:rPr>
                <w:rFonts w:ascii="Aptos" w:hAnsi="Aptos"/>
                <w:b w:val="0"/>
                <w:sz w:val="16"/>
              </w:rPr>
              <w:t>Prevents impossible synthetic values.</w:t>
            </w:r>
          </w:p>
        </w:tc>
      </w:tr>
      <w:tr>
        <w:trPr>
          <w:cantSplit/>
        </w:trPr>
        <w:tc>
          <w:tcPr>
            <w:tcW w:type="dxa" w:w="3360"/>
            <w:vAlign w:val="center"/>
          </w:tcPr>
          <w:p>
            <w:r/>
            <w:r>
              <w:rPr>
                <w:rFonts w:ascii="Aptos" w:hAnsi="Aptos"/>
                <w:b w:val="0"/>
                <w:sz w:val="16"/>
              </w:rPr>
              <w:t>Categorical variables</w:t>
            </w:r>
          </w:p>
        </w:tc>
        <w:tc>
          <w:tcPr>
            <w:tcW w:type="dxa" w:w="3360"/>
            <w:vAlign w:val="center"/>
          </w:tcPr>
          <w:p>
            <w:r/>
            <w:r>
              <w:rPr>
                <w:rFonts w:ascii="Aptos" w:hAnsi="Aptos"/>
                <w:b w:val="0"/>
                <w:sz w:val="16"/>
              </w:rPr>
              <w:t>Multinomial/logistic or tree-based imputation</w:t>
            </w:r>
          </w:p>
        </w:tc>
        <w:tc>
          <w:tcPr>
            <w:tcW w:type="dxa" w:w="3360"/>
            <w:vAlign w:val="center"/>
          </w:tcPr>
          <w:p>
            <w:r/>
            <w:r>
              <w:rPr>
                <w:rFonts w:ascii="Aptos" w:hAnsi="Aptos"/>
                <w:b w:val="0"/>
                <w:sz w:val="16"/>
              </w:rPr>
              <w:t>Avoids treating codes as continuous.</w:t>
            </w:r>
          </w:p>
        </w:tc>
      </w:tr>
      <w:tr>
        <w:trPr>
          <w:cantSplit/>
        </w:trPr>
        <w:tc>
          <w:tcPr>
            <w:tcW w:type="dxa" w:w="3360"/>
            <w:vAlign w:val="center"/>
          </w:tcPr>
          <w:p>
            <w:r/>
            <w:r>
              <w:rPr>
                <w:rFonts w:ascii="Aptos" w:hAnsi="Aptos"/>
                <w:b w:val="0"/>
                <w:sz w:val="16"/>
              </w:rPr>
              <w:t>Continuous variables</w:t>
            </w:r>
          </w:p>
        </w:tc>
        <w:tc>
          <w:tcPr>
            <w:tcW w:type="dxa" w:w="3360"/>
            <w:vAlign w:val="center"/>
          </w:tcPr>
          <w:p>
            <w:r/>
            <w:r>
              <w:rPr>
                <w:rFonts w:ascii="Aptos" w:hAnsi="Aptos"/>
                <w:b w:val="0"/>
                <w:sz w:val="16"/>
              </w:rPr>
              <w:t>Predictive mean matching / suitable Bayesian or chained-equation approach</w:t>
            </w:r>
          </w:p>
        </w:tc>
        <w:tc>
          <w:tcPr>
            <w:tcW w:type="dxa" w:w="3360"/>
            <w:vAlign w:val="center"/>
          </w:tcPr>
          <w:p>
            <w:r/>
            <w:r>
              <w:rPr>
                <w:rFonts w:ascii="Aptos" w:hAnsi="Aptos"/>
                <w:b w:val="0"/>
                <w:sz w:val="16"/>
              </w:rPr>
              <w:t>Preserves plausible distributions better than mean fill.</w:t>
            </w:r>
          </w:p>
        </w:tc>
      </w:tr>
      <w:tr>
        <w:trPr>
          <w:cantSplit/>
        </w:trPr>
        <w:tc>
          <w:tcPr>
            <w:tcW w:type="dxa" w:w="3360"/>
            <w:vAlign w:val="center"/>
          </w:tcPr>
          <w:p>
            <w:r/>
            <w:r>
              <w:rPr>
                <w:rFonts w:ascii="Aptos" w:hAnsi="Aptos"/>
                <w:b w:val="0"/>
                <w:sz w:val="16"/>
              </w:rPr>
              <w:t>Skewed variables</w:t>
            </w:r>
          </w:p>
        </w:tc>
        <w:tc>
          <w:tcPr>
            <w:tcW w:type="dxa" w:w="3360"/>
            <w:vAlign w:val="center"/>
          </w:tcPr>
          <w:p>
            <w:r/>
            <w:r>
              <w:rPr>
                <w:rFonts w:ascii="Aptos" w:hAnsi="Aptos"/>
                <w:b w:val="0"/>
                <w:sz w:val="16"/>
              </w:rPr>
              <w:t>Transform or use distribution-aware model when justified</w:t>
            </w:r>
          </w:p>
        </w:tc>
        <w:tc>
          <w:tcPr>
            <w:tcW w:type="dxa" w:w="3360"/>
            <w:vAlign w:val="center"/>
          </w:tcPr>
          <w:p>
            <w:r/>
            <w:r>
              <w:rPr>
                <w:rFonts w:ascii="Aptos" w:hAnsi="Aptos"/>
                <w:b w:val="0"/>
                <w:sz w:val="16"/>
              </w:rPr>
              <w:t>Reduces unrealistic tails.</w:t>
            </w:r>
          </w:p>
        </w:tc>
      </w:tr>
      <w:tr>
        <w:trPr>
          <w:cantSplit/>
        </w:trPr>
        <w:tc>
          <w:tcPr>
            <w:tcW w:type="dxa" w:w="3360"/>
            <w:vAlign w:val="center"/>
          </w:tcPr>
          <w:p>
            <w:r/>
            <w:r>
              <w:rPr>
                <w:rFonts w:ascii="Aptos" w:hAnsi="Aptos"/>
                <w:b w:val="0"/>
                <w:sz w:val="16"/>
              </w:rPr>
              <w:t>Censored variables</w:t>
            </w:r>
          </w:p>
        </w:tc>
        <w:tc>
          <w:tcPr>
            <w:tcW w:type="dxa" w:w="3360"/>
            <w:vAlign w:val="center"/>
          </w:tcPr>
          <w:p>
            <w:r/>
            <w:r>
              <w:rPr>
                <w:rFonts w:ascii="Aptos" w:hAnsi="Aptos"/>
                <w:b w:val="0"/>
                <w:sz w:val="16"/>
              </w:rPr>
              <w:t>Use censoring-aware representation</w:t>
            </w:r>
          </w:p>
        </w:tc>
        <w:tc>
          <w:tcPr>
            <w:tcW w:type="dxa" w:w="3360"/>
            <w:vAlign w:val="center"/>
          </w:tcPr>
          <w:p>
            <w:r/>
            <w:r>
              <w:rPr>
                <w:rFonts w:ascii="Aptos" w:hAnsi="Aptos"/>
                <w:b w:val="0"/>
                <w:sz w:val="16"/>
              </w:rPr>
              <w:t>Do not infer exact values deliberately suppressed by NHANES.</w:t>
            </w:r>
          </w:p>
        </w:tc>
      </w:tr>
      <w:tr>
        <w:trPr>
          <w:cantSplit/>
        </w:trPr>
        <w:tc>
          <w:tcPr>
            <w:tcW w:type="dxa" w:w="3360"/>
            <w:vAlign w:val="center"/>
          </w:tcPr>
          <w:p>
            <w:r/>
            <w:r>
              <w:rPr>
                <w:rFonts w:ascii="Aptos" w:hAnsi="Aptos"/>
                <w:b w:val="0"/>
                <w:sz w:val="16"/>
              </w:rPr>
              <w:t>Temporal features</w:t>
            </w:r>
          </w:p>
        </w:tc>
        <w:tc>
          <w:tcPr>
            <w:tcW w:type="dxa" w:w="3360"/>
            <w:vAlign w:val="center"/>
          </w:tcPr>
          <w:p>
            <w:r/>
            <w:r>
              <w:rPr>
                <w:rFonts w:ascii="Aptos" w:hAnsi="Aptos"/>
                <w:b w:val="0"/>
                <w:sz w:val="16"/>
              </w:rPr>
              <w:t>Use only information available at the prediction time</w:t>
            </w:r>
          </w:p>
        </w:tc>
        <w:tc>
          <w:tcPr>
            <w:tcW w:type="dxa" w:w="3360"/>
            <w:vAlign w:val="center"/>
          </w:tcPr>
          <w:p>
            <w:r/>
            <w:r>
              <w:rPr>
                <w:rFonts w:ascii="Aptos" w:hAnsi="Aptos"/>
                <w:b w:val="0"/>
                <w:sz w:val="16"/>
              </w:rPr>
              <w:t>Prevents temporal leakage.</w:t>
            </w:r>
          </w:p>
        </w:tc>
      </w:tr>
      <w:tr>
        <w:trPr>
          <w:cantSplit/>
        </w:trPr>
        <w:tc>
          <w:tcPr>
            <w:tcW w:type="dxa" w:w="3360"/>
            <w:vAlign w:val="center"/>
          </w:tcPr>
          <w:p>
            <w:r/>
            <w:r>
              <w:rPr>
                <w:rFonts w:ascii="Aptos" w:hAnsi="Aptos"/>
                <w:b w:val="0"/>
                <w:sz w:val="16"/>
              </w:rPr>
              <w:t>Survey design</w:t>
            </w:r>
          </w:p>
        </w:tc>
        <w:tc>
          <w:tcPr>
            <w:tcW w:type="dxa" w:w="3360"/>
            <w:vAlign w:val="center"/>
          </w:tcPr>
          <w:p>
            <w:r/>
            <w:r>
              <w:rPr>
                <w:rFonts w:ascii="Aptos" w:hAnsi="Aptos"/>
                <w:b w:val="0"/>
                <w:sz w:val="16"/>
              </w:rPr>
              <w:t>Include relevant weights/design variables in appropriate inferential workflows</w:t>
            </w:r>
          </w:p>
        </w:tc>
        <w:tc>
          <w:tcPr>
            <w:tcW w:type="dxa" w:w="3360"/>
            <w:vAlign w:val="center"/>
          </w:tcPr>
          <w:p>
            <w:r/>
            <w:r>
              <w:rPr>
                <w:rFonts w:ascii="Aptos" w:hAnsi="Aptos"/>
                <w:b w:val="0"/>
                <w:sz w:val="16"/>
              </w:rPr>
              <w:t>Reflects complex sampling.</w:t>
            </w:r>
          </w:p>
        </w:tc>
      </w:tr>
      <w:tr>
        <w:trPr>
          <w:cantSplit/>
        </w:trPr>
        <w:tc>
          <w:tcPr>
            <w:tcW w:type="dxa" w:w="3360"/>
            <w:vAlign w:val="center"/>
          </w:tcPr>
          <w:p>
            <w:r/>
            <w:r>
              <w:rPr>
                <w:rFonts w:ascii="Aptos" w:hAnsi="Aptos"/>
                <w:b w:val="0"/>
                <w:sz w:val="16"/>
              </w:rPr>
              <w:t>Number of imputations</w:t>
            </w:r>
          </w:p>
        </w:tc>
        <w:tc>
          <w:tcPr>
            <w:tcW w:type="dxa" w:w="3360"/>
            <w:vAlign w:val="center"/>
          </w:tcPr>
          <w:p>
            <w:r/>
            <w:r>
              <w:rPr>
                <w:rFonts w:ascii="Aptos" w:hAnsi="Aptos"/>
                <w:b w:val="0"/>
                <w:sz w:val="16"/>
              </w:rPr>
              <w:t>Prespecify and increase if missing-information fraction is high</w:t>
            </w:r>
          </w:p>
        </w:tc>
        <w:tc>
          <w:tcPr>
            <w:tcW w:type="dxa" w:w="3360"/>
            <w:vAlign w:val="center"/>
          </w:tcPr>
          <w:p>
            <w:r/>
            <w:r>
              <w:rPr>
                <w:rFonts w:ascii="Aptos" w:hAnsi="Aptos"/>
                <w:b w:val="0"/>
                <w:sz w:val="16"/>
              </w:rPr>
              <w:t>Reduces Monte Carlo error; exact choice should be justified by analysis.</w:t>
            </w:r>
          </w:p>
        </w:tc>
      </w:tr>
      <w:tr>
        <w:trPr>
          <w:cantSplit/>
        </w:trPr>
        <w:tc>
          <w:tcPr>
            <w:tcW w:type="dxa" w:w="3360"/>
            <w:vAlign w:val="center"/>
          </w:tcPr>
          <w:p>
            <w:r/>
            <w:r>
              <w:rPr>
                <w:rFonts w:ascii="Aptos" w:hAnsi="Aptos"/>
                <w:b w:val="0"/>
                <w:sz w:val="16"/>
              </w:rPr>
              <w:t>Model validation</w:t>
            </w:r>
          </w:p>
        </w:tc>
        <w:tc>
          <w:tcPr>
            <w:tcW w:type="dxa" w:w="3360"/>
            <w:vAlign w:val="center"/>
          </w:tcPr>
          <w:p>
            <w:r/>
            <w:r>
              <w:rPr>
                <w:rFonts w:ascii="Aptos" w:hAnsi="Aptos"/>
                <w:b w:val="0"/>
                <w:sz w:val="16"/>
              </w:rPr>
              <w:t>Fit imputation separately within each training fold</w:t>
            </w:r>
          </w:p>
        </w:tc>
        <w:tc>
          <w:tcPr>
            <w:tcW w:type="dxa" w:w="3360"/>
            <w:vAlign w:val="center"/>
          </w:tcPr>
          <w:p>
            <w:r/>
            <w:r>
              <w:rPr>
                <w:rFonts w:ascii="Aptos" w:hAnsi="Aptos"/>
                <w:b w:val="0"/>
                <w:sz w:val="16"/>
              </w:rPr>
              <w:t>Prevents leakage.</w:t>
            </w:r>
          </w:p>
        </w:tc>
      </w:tr>
      <w:tr>
        <w:trPr>
          <w:cantSplit/>
        </w:trPr>
        <w:tc>
          <w:tcPr>
            <w:tcW w:type="dxa" w:w="3360"/>
            <w:vAlign w:val="center"/>
          </w:tcPr>
          <w:p>
            <w:r/>
            <w:r>
              <w:rPr>
                <w:rFonts w:ascii="Aptos" w:hAnsi="Aptos"/>
                <w:b w:val="0"/>
                <w:sz w:val="16"/>
              </w:rPr>
              <w:t>Sensitivity</w:t>
            </w:r>
          </w:p>
        </w:tc>
        <w:tc>
          <w:tcPr>
            <w:tcW w:type="dxa" w:w="3360"/>
            <w:vAlign w:val="center"/>
          </w:tcPr>
          <w:p>
            <w:r/>
            <w:r>
              <w:rPr>
                <w:rFonts w:ascii="Aptos" w:hAnsi="Aptos"/>
                <w:b w:val="0"/>
                <w:sz w:val="16"/>
              </w:rPr>
              <w:t>Compare native missing, complete-case, and imputed analyses</w:t>
            </w:r>
          </w:p>
        </w:tc>
        <w:tc>
          <w:tcPr>
            <w:tcW w:type="dxa" w:w="3360"/>
            <w:vAlign w:val="center"/>
          </w:tcPr>
          <w:p>
            <w:r/>
            <w:r>
              <w:rPr>
                <w:rFonts w:ascii="Aptos" w:hAnsi="Aptos"/>
                <w:b w:val="0"/>
                <w:sz w:val="16"/>
              </w:rPr>
              <w:t>Tests dependence on missing-data assumptions.</w:t>
            </w:r>
          </w:p>
        </w:tc>
      </w:tr>
    </w:tbl>
    <w:p>
      <w:pPr>
        <w:pStyle w:val="Heading2"/>
      </w:pPr>
      <w:r>
        <w:t>9.1 Recommended missingness mechanism investigation</w:t>
      </w:r>
    </w:p>
    <w:p>
      <w:pPr>
        <w:pStyle w:val="ListNumber"/>
      </w:pPr>
      <w:r>
        <w:t>Map raw blanks against documented target populations and collection status.</w:t>
      </w:r>
    </w:p>
    <w:p>
      <w:pPr>
        <w:pStyle w:val="ListNumber"/>
      </w:pPr>
      <w:r>
        <w:t>Convert special codes (Refused, Don't know, Not done, etc.) into explicit response-state fields while preserving the original raw code.</w:t>
      </w:r>
    </w:p>
    <w:p>
      <w:pPr>
        <w:pStyle w:val="ListNumber"/>
      </w:pPr>
      <w:r>
        <w:t>Calculate missingness by age, sex, race/ethnicity, examination participation, and other variables plausibly related to availability.</w:t>
      </w:r>
    </w:p>
    <w:p>
      <w:pPr>
        <w:pStyle w:val="ListNumber"/>
      </w:pPr>
      <w:r>
        <w:t>Test whether missingness indicators predict other observed characteristics; use this as evidence about the missingness process, not proof of MCAR/MAR/MNAR.</w:t>
      </w:r>
    </w:p>
    <w:p>
      <w:pPr>
        <w:pStyle w:val="ListNumber"/>
      </w:pPr>
      <w:r>
        <w:t>Predefine the analytic population before imputation.</w:t>
      </w:r>
    </w:p>
    <w:p>
      <w:pPr>
        <w:pStyle w:val="ListNumber"/>
      </w:pPr>
      <w:r>
        <w:t>Compare imputation models under alternative specifications and perform sensitivity analyses.</w:t>
      </w:r>
    </w:p>
    <w:p>
      <w:pPr>
        <w:pStyle w:val="Heading1"/>
      </w:pPr>
      <w:r>
        <w:t>10. NHANES Survey Design: Implications for Statistical Analysis</w:t>
      </w:r>
    </w:p>
    <w:p>
      <w:r>
        <w:t>DEMO_L contains 2-year interview and MEC weights plus masked variance strata and pseudo-PSUs. The NHANES documentation instructs users to use the appropriate 2-year weight and to consult the analytic guidelines for variance estimation. The official 2021–2023 analytic guidance explains that weights account for selection, nonresponse, and coverage processes, and that the cycle has design changes and subgroup precision considerations.</w:t>
      </w:r>
    </w:p>
    <w:tbl>
      <w:tblPr>
        <w:tblW w:type="auto" w:w="0"/>
        <w:jc w:val="center"/>
        <w:tblLook w:firstColumn="1" w:firstRow="1" w:lastColumn="0" w:lastRow="0" w:noHBand="0" w:noVBand="1" w:val="04A0"/>
      </w:tblPr>
      <w:tblGrid>
        <w:gridCol w:w="10080"/>
      </w:tblGrid>
      <w:tr>
        <w:trPr>
          <w:cantSplit/>
        </w:trPr>
        <w:tc>
          <w:tcPr>
            <w:tcW w:type="dxa" w:w="10080"/>
            <w:shd w:fill="EEF4F8"/>
          </w:tcPr>
          <w:p>
            <w:r>
              <w:rPr>
                <w:b/>
                <w:sz w:val="20"/>
              </w:rPr>
              <w:t>Important distinction</w:t>
            </w:r>
          </w:p>
          <w:p>
            <w:pPr>
              <w:spacing w:after="0"/>
            </w:pPr>
            <w:r>
              <w:rPr>
                <w:sz w:val="18"/>
              </w:rPr>
              <w:t>Predictive modeling and population estimation are not identical tasks. A machine-learning model may be evaluated with discrimination/calibration metrics, but prevalence estimates, confidence intervals, population means, regression coefficients intended for national inference, and other survey-estimation tasks must respect the complex survey design.</w:t>
            </w:r>
          </w:p>
        </w:tc>
      </w:tr>
    </w:tbl>
    <w:p>
      <w:pPr>
        <w:pStyle w:val="Heading2"/>
      </w:pPr>
      <w:r>
        <w:t>10.1 Design variables to preserve</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D9E2F3"/>
          </w:tcPr>
          <w:p>
            <w:r/>
            <w:r>
              <w:rPr>
                <w:rFonts w:ascii="Aptos" w:hAnsi="Aptos"/>
                <w:b/>
                <w:sz w:val="16"/>
              </w:rPr>
              <w:t>Field</w:t>
            </w:r>
          </w:p>
        </w:tc>
        <w:tc>
          <w:tcPr>
            <w:tcW w:type="dxa" w:w="5040"/>
            <w:vAlign w:val="center"/>
            <w:shd w:fill="D9E2F3"/>
          </w:tcPr>
          <w:p>
            <w:r/>
            <w:r>
              <w:rPr>
                <w:rFonts w:ascii="Aptos" w:hAnsi="Aptos"/>
                <w:b/>
                <w:sz w:val="16"/>
              </w:rPr>
              <w:t>Role</w:t>
            </w:r>
          </w:p>
        </w:tc>
      </w:tr>
      <w:tr>
        <w:trPr>
          <w:cantSplit/>
        </w:trPr>
        <w:tc>
          <w:tcPr>
            <w:tcW w:type="dxa" w:w="5040"/>
            <w:vAlign w:val="center"/>
          </w:tcPr>
          <w:p>
            <w:r/>
            <w:r>
              <w:rPr>
                <w:rFonts w:ascii="Aptos" w:hAnsi="Aptos"/>
                <w:b w:val="0"/>
                <w:sz w:val="16"/>
              </w:rPr>
              <w:t>WTINT2YR</w:t>
            </w:r>
          </w:p>
        </w:tc>
        <w:tc>
          <w:tcPr>
            <w:tcW w:type="dxa" w:w="5040"/>
            <w:vAlign w:val="center"/>
          </w:tcPr>
          <w:p>
            <w:r/>
            <w:r>
              <w:rPr>
                <w:rFonts w:ascii="Aptos" w:hAnsi="Aptos"/>
                <w:b w:val="0"/>
                <w:sz w:val="16"/>
              </w:rPr>
              <w:t>Interview-weighted analyses.</w:t>
            </w:r>
          </w:p>
        </w:tc>
      </w:tr>
      <w:tr>
        <w:trPr>
          <w:cantSplit/>
        </w:trPr>
        <w:tc>
          <w:tcPr>
            <w:tcW w:type="dxa" w:w="5040"/>
            <w:vAlign w:val="center"/>
          </w:tcPr>
          <w:p>
            <w:r/>
            <w:r>
              <w:rPr>
                <w:rFonts w:ascii="Aptos" w:hAnsi="Aptos"/>
                <w:b w:val="0"/>
                <w:sz w:val="16"/>
              </w:rPr>
              <w:t>WTMEC2YR</w:t>
            </w:r>
          </w:p>
        </w:tc>
        <w:tc>
          <w:tcPr>
            <w:tcW w:type="dxa" w:w="5040"/>
            <w:vAlign w:val="center"/>
          </w:tcPr>
          <w:p>
            <w:r/>
            <w:r>
              <w:rPr>
                <w:rFonts w:ascii="Aptos" w:hAnsi="Aptos"/>
                <w:b w:val="0"/>
                <w:sz w:val="16"/>
              </w:rPr>
              <w:t>MEC-weighted analyses; zero for non-MEC participants.</w:t>
            </w:r>
          </w:p>
        </w:tc>
      </w:tr>
      <w:tr>
        <w:trPr>
          <w:cantSplit/>
        </w:trPr>
        <w:tc>
          <w:tcPr>
            <w:tcW w:type="dxa" w:w="5040"/>
            <w:vAlign w:val="center"/>
          </w:tcPr>
          <w:p>
            <w:r/>
            <w:r>
              <w:rPr>
                <w:rFonts w:ascii="Aptos" w:hAnsi="Aptos"/>
                <w:b w:val="0"/>
                <w:sz w:val="16"/>
              </w:rPr>
              <w:t>SDMVSTRA</w:t>
            </w:r>
          </w:p>
        </w:tc>
        <w:tc>
          <w:tcPr>
            <w:tcW w:type="dxa" w:w="5040"/>
            <w:vAlign w:val="center"/>
          </w:tcPr>
          <w:p>
            <w:r/>
            <w:r>
              <w:rPr>
                <w:rFonts w:ascii="Aptos" w:hAnsi="Aptos"/>
                <w:b w:val="0"/>
                <w:sz w:val="16"/>
              </w:rPr>
              <w:t>Masked variance pseudo-stratum.</w:t>
            </w:r>
          </w:p>
        </w:tc>
      </w:tr>
      <w:tr>
        <w:trPr>
          <w:cantSplit/>
        </w:trPr>
        <w:tc>
          <w:tcPr>
            <w:tcW w:type="dxa" w:w="5040"/>
            <w:vAlign w:val="center"/>
          </w:tcPr>
          <w:p>
            <w:r/>
            <w:r>
              <w:rPr>
                <w:rFonts w:ascii="Aptos" w:hAnsi="Aptos"/>
                <w:b w:val="0"/>
                <w:sz w:val="16"/>
              </w:rPr>
              <w:t>SDMVPSU</w:t>
            </w:r>
          </w:p>
        </w:tc>
        <w:tc>
          <w:tcPr>
            <w:tcW w:type="dxa" w:w="5040"/>
            <w:vAlign w:val="center"/>
          </w:tcPr>
          <w:p>
            <w:r/>
            <w:r>
              <w:rPr>
                <w:rFonts w:ascii="Aptos" w:hAnsi="Aptos"/>
                <w:b w:val="0"/>
                <w:sz w:val="16"/>
              </w:rPr>
              <w:t>Masked variance pseudo-PSU.</w:t>
            </w:r>
          </w:p>
        </w:tc>
      </w:tr>
      <w:tr>
        <w:trPr>
          <w:cantSplit/>
        </w:trPr>
        <w:tc>
          <w:tcPr>
            <w:tcW w:type="dxa" w:w="5040"/>
            <w:vAlign w:val="center"/>
          </w:tcPr>
          <w:p>
            <w:r/>
            <w:r>
              <w:rPr>
                <w:rFonts w:ascii="Aptos" w:hAnsi="Aptos"/>
                <w:b w:val="0"/>
                <w:sz w:val="16"/>
              </w:rPr>
              <w:t>RIDSTATR</w:t>
            </w:r>
          </w:p>
        </w:tc>
        <w:tc>
          <w:tcPr>
            <w:tcW w:type="dxa" w:w="5040"/>
            <w:vAlign w:val="center"/>
          </w:tcPr>
          <w:p>
            <w:r/>
            <w:r>
              <w:rPr>
                <w:rFonts w:ascii="Aptos" w:hAnsi="Aptos"/>
                <w:b w:val="0"/>
                <w:sz w:val="16"/>
              </w:rPr>
              <w:t>Defines interview-only versus interviewed + examined populations.</w:t>
            </w:r>
          </w:p>
        </w:tc>
      </w:tr>
      <w:tr>
        <w:trPr>
          <w:cantSplit/>
        </w:trPr>
        <w:tc>
          <w:tcPr>
            <w:tcW w:type="dxa" w:w="5040"/>
            <w:vAlign w:val="center"/>
          </w:tcPr>
          <w:p>
            <w:r/>
            <w:r>
              <w:rPr>
                <w:rFonts w:ascii="Aptos" w:hAnsi="Aptos"/>
                <w:b w:val="0"/>
                <w:sz w:val="16"/>
              </w:rPr>
              <w:t>SEQN</w:t>
            </w:r>
          </w:p>
        </w:tc>
        <w:tc>
          <w:tcPr>
            <w:tcW w:type="dxa" w:w="5040"/>
            <w:vAlign w:val="center"/>
          </w:tcPr>
          <w:p>
            <w:r/>
            <w:r>
              <w:rPr>
                <w:rFonts w:ascii="Aptos" w:hAnsi="Aptos"/>
                <w:b w:val="0"/>
                <w:sz w:val="16"/>
              </w:rPr>
              <w:t>Participant linkage key.</w:t>
            </w:r>
          </w:p>
        </w:tc>
      </w:tr>
    </w:tbl>
    <w:p>
      <w:pPr>
        <w:pStyle w:val="Heading2"/>
      </w:pPr>
      <w:r>
        <w:t>10.2 What not to do</w:t>
      </w:r>
    </w:p>
    <w:p>
      <w:pPr>
        <w:pStyle w:val="ListBullet"/>
      </w:pPr>
      <w:r>
        <w:t>Do not normalize survey weights and use them as ordinary predictor variables.</w:t>
      </w:r>
    </w:p>
    <w:p>
      <w:pPr>
        <w:pStyle w:val="ListBullet"/>
      </w:pPr>
      <w:r>
        <w:t>Do not treat SDMVSTRA or SDMVPSU as biological covariates.</w:t>
      </w:r>
    </w:p>
    <w:p>
      <w:pPr>
        <w:pStyle w:val="ListBullet"/>
      </w:pPr>
      <w:r>
        <w:t>Do not silently substitute interview weights for MEC or laboratory-specific weights.</w:t>
      </w:r>
    </w:p>
    <w:p>
      <w:pPr>
        <w:pStyle w:val="ListBullet"/>
      </w:pPr>
      <w:r>
        <w:t>Do not pool cycles without checking the cycle-specific analytic guidance.</w:t>
      </w:r>
    </w:p>
    <w:p>
      <w:pPr>
        <w:pStyle w:val="Heading1"/>
      </w:pPr>
      <w:r>
        <w:t>11. Proposed MIR Data Architecture Using DEMO_L</w:t>
      </w:r>
    </w:p>
    <w:p>
      <w:r>
        <w:t>The DEMO_L EDA supports a four-layer representation for the MIR research pipeline.</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D9E2F3"/>
          </w:tcPr>
          <w:p>
            <w:r/>
            <w:r>
              <w:rPr>
                <w:rFonts w:ascii="Aptos" w:hAnsi="Aptos"/>
                <w:b/>
                <w:sz w:val="16"/>
              </w:rPr>
              <w:t>Layer</w:t>
            </w:r>
          </w:p>
        </w:tc>
        <w:tc>
          <w:tcPr>
            <w:tcW w:type="dxa" w:w="3360"/>
            <w:vAlign w:val="center"/>
            <w:shd w:fill="D9E2F3"/>
          </w:tcPr>
          <w:p>
            <w:r/>
            <w:r>
              <w:rPr>
                <w:rFonts w:ascii="Aptos" w:hAnsi="Aptos"/>
                <w:b/>
                <w:sz w:val="16"/>
              </w:rPr>
              <w:t>Contents</w:t>
            </w:r>
          </w:p>
        </w:tc>
        <w:tc>
          <w:tcPr>
            <w:tcW w:type="dxa" w:w="3360"/>
            <w:vAlign w:val="center"/>
            <w:shd w:fill="D9E2F3"/>
          </w:tcPr>
          <w:p>
            <w:r/>
            <w:r>
              <w:rPr>
                <w:rFonts w:ascii="Aptos" w:hAnsi="Aptos"/>
                <w:b/>
                <w:sz w:val="16"/>
              </w:rPr>
              <w:t>Example</w:t>
            </w:r>
          </w:p>
        </w:tc>
      </w:tr>
      <w:tr>
        <w:trPr>
          <w:cantSplit/>
        </w:trPr>
        <w:tc>
          <w:tcPr>
            <w:tcW w:type="dxa" w:w="3360"/>
            <w:vAlign w:val="center"/>
          </w:tcPr>
          <w:p>
            <w:r/>
            <w:r>
              <w:rPr>
                <w:rFonts w:ascii="Aptos" w:hAnsi="Aptos"/>
                <w:b w:val="0"/>
                <w:sz w:val="16"/>
              </w:rPr>
              <w:t>Layer 0 — Raw</w:t>
            </w:r>
          </w:p>
        </w:tc>
        <w:tc>
          <w:tcPr>
            <w:tcW w:type="dxa" w:w="3360"/>
            <w:vAlign w:val="center"/>
          </w:tcPr>
          <w:p>
            <w:r/>
            <w:r>
              <w:rPr>
                <w:rFonts w:ascii="Aptos" w:hAnsi="Aptos"/>
                <w:b w:val="0"/>
                <w:sz w:val="16"/>
              </w:rPr>
              <w:t>Original NHANES values and codes</w:t>
            </w:r>
          </w:p>
        </w:tc>
        <w:tc>
          <w:tcPr>
            <w:tcW w:type="dxa" w:w="3360"/>
            <w:vAlign w:val="center"/>
          </w:tcPr>
          <w:p>
            <w:r/>
            <w:r>
              <w:rPr>
                <w:rFonts w:ascii="Aptos" w:hAnsi="Aptos"/>
                <w:b w:val="0"/>
                <w:sz w:val="16"/>
              </w:rPr>
              <w:t>DEMO_L.xpt fields exactly as released</w:t>
            </w:r>
          </w:p>
        </w:tc>
      </w:tr>
      <w:tr>
        <w:trPr>
          <w:cantSplit/>
        </w:trPr>
        <w:tc>
          <w:tcPr>
            <w:tcW w:type="dxa" w:w="3360"/>
            <w:vAlign w:val="center"/>
          </w:tcPr>
          <w:p>
            <w:r/>
            <w:r>
              <w:rPr>
                <w:rFonts w:ascii="Aptos" w:hAnsi="Aptos"/>
                <w:b w:val="0"/>
                <w:sz w:val="16"/>
              </w:rPr>
              <w:t>Layer 1 — Semantic</w:t>
            </w:r>
          </w:p>
        </w:tc>
        <w:tc>
          <w:tcPr>
            <w:tcW w:type="dxa" w:w="3360"/>
            <w:vAlign w:val="center"/>
          </w:tcPr>
          <w:p>
            <w:r/>
            <w:r>
              <w:rPr>
                <w:rFonts w:ascii="Aptos" w:hAnsi="Aptos"/>
                <w:b w:val="0"/>
                <w:sz w:val="16"/>
              </w:rPr>
              <w:t>Typed variables, labels, special codes, eligibility</w:t>
            </w:r>
          </w:p>
        </w:tc>
        <w:tc>
          <w:tcPr>
            <w:tcW w:type="dxa" w:w="3360"/>
            <w:vAlign w:val="center"/>
          </w:tcPr>
          <w:p>
            <w:r/>
            <w:r>
              <w:rPr>
                <w:rFonts w:ascii="Aptos" w:hAnsi="Aptos"/>
                <w:b w:val="0"/>
                <w:sz w:val="16"/>
              </w:rPr>
              <w:t>RIAGENDR as categorical; INDFMPIR as censored</w:t>
            </w:r>
          </w:p>
        </w:tc>
      </w:tr>
      <w:tr>
        <w:trPr>
          <w:cantSplit/>
        </w:trPr>
        <w:tc>
          <w:tcPr>
            <w:tcW w:type="dxa" w:w="3360"/>
            <w:vAlign w:val="center"/>
          </w:tcPr>
          <w:p>
            <w:r/>
            <w:r>
              <w:rPr>
                <w:rFonts w:ascii="Aptos" w:hAnsi="Aptos"/>
                <w:b w:val="0"/>
                <w:sz w:val="16"/>
              </w:rPr>
              <w:t>Layer 2 — Evidence state</w:t>
            </w:r>
          </w:p>
        </w:tc>
        <w:tc>
          <w:tcPr>
            <w:tcW w:type="dxa" w:w="3360"/>
            <w:vAlign w:val="center"/>
          </w:tcPr>
          <w:p>
            <w:r/>
            <w:r>
              <w:rPr>
                <w:rFonts w:ascii="Aptos" w:hAnsi="Aptos"/>
                <w:b w:val="0"/>
                <w:sz w:val="16"/>
              </w:rPr>
              <w:t>Value + availability + provenance + timing + quality</w:t>
            </w:r>
          </w:p>
        </w:tc>
        <w:tc>
          <w:tcPr>
            <w:tcW w:type="dxa" w:w="3360"/>
            <w:vAlign w:val="center"/>
          </w:tcPr>
          <w:p>
            <w:r/>
            <w:r>
              <w:rPr>
                <w:rFonts w:ascii="Aptos" w:hAnsi="Aptos"/>
                <w:b w:val="0"/>
                <w:sz w:val="16"/>
              </w:rPr>
              <w:t>INDFMPIR value, PIR_AVAILABLE=1, PIR_CENSORED=1</w:t>
            </w:r>
          </w:p>
        </w:tc>
      </w:tr>
      <w:tr>
        <w:trPr>
          <w:cantSplit/>
        </w:trPr>
        <w:tc>
          <w:tcPr>
            <w:tcW w:type="dxa" w:w="3360"/>
            <w:vAlign w:val="center"/>
          </w:tcPr>
          <w:p>
            <w:r/>
            <w:r>
              <w:rPr>
                <w:rFonts w:ascii="Aptos" w:hAnsi="Aptos"/>
                <w:b w:val="0"/>
                <w:sz w:val="16"/>
              </w:rPr>
              <w:t>Layer 3 — Modeling</w:t>
            </w:r>
          </w:p>
        </w:tc>
        <w:tc>
          <w:tcPr>
            <w:tcW w:type="dxa" w:w="3360"/>
            <w:vAlign w:val="center"/>
          </w:tcPr>
          <w:p>
            <w:r/>
            <w:r>
              <w:rPr>
                <w:rFonts w:ascii="Aptos" w:hAnsi="Aptos"/>
                <w:b w:val="0"/>
                <w:sz w:val="16"/>
              </w:rPr>
              <w:t>Study-specific feature matrix after cohort definition</w:t>
            </w:r>
          </w:p>
        </w:tc>
        <w:tc>
          <w:tcPr>
            <w:tcW w:type="dxa" w:w="3360"/>
            <w:vAlign w:val="center"/>
          </w:tcPr>
          <w:p>
            <w:r/>
            <w:r>
              <w:rPr>
                <w:rFonts w:ascii="Aptos" w:hAnsi="Aptos"/>
                <w:b w:val="0"/>
                <w:sz w:val="16"/>
              </w:rPr>
              <w:t>Age spline + sex + selected context + lab features</w:t>
            </w:r>
          </w:p>
        </w:tc>
      </w:tr>
    </w:tbl>
    <w:p>
      <w:pPr>
        <w:pStyle w:val="Heading2"/>
      </w:pPr>
      <w:r>
        <w:t>11.1 Proposed feature-state schema</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D9E2F3"/>
          </w:tcPr>
          <w:p>
            <w:r/>
            <w:r>
              <w:rPr>
                <w:rFonts w:ascii="Aptos" w:hAnsi="Aptos"/>
                <w:b/>
                <w:sz w:val="16"/>
              </w:rPr>
              <w:t>Field</w:t>
            </w:r>
          </w:p>
        </w:tc>
        <w:tc>
          <w:tcPr>
            <w:tcW w:type="dxa" w:w="5040"/>
            <w:vAlign w:val="center"/>
            <w:shd w:fill="D9E2F3"/>
          </w:tcPr>
          <w:p>
            <w:r/>
            <w:r>
              <w:rPr>
                <w:rFonts w:ascii="Aptos" w:hAnsi="Aptos"/>
                <w:b/>
                <w:sz w:val="16"/>
              </w:rPr>
              <w:t>Meaning</w:t>
            </w:r>
          </w:p>
        </w:tc>
      </w:tr>
      <w:tr>
        <w:trPr>
          <w:cantSplit/>
        </w:trPr>
        <w:tc>
          <w:tcPr>
            <w:tcW w:type="dxa" w:w="5040"/>
            <w:vAlign w:val="center"/>
          </w:tcPr>
          <w:p>
            <w:r/>
            <w:r>
              <w:rPr>
                <w:rFonts w:ascii="Aptos" w:hAnsi="Aptos"/>
                <w:b w:val="0"/>
                <w:sz w:val="16"/>
              </w:rPr>
              <w:t>value</w:t>
            </w:r>
          </w:p>
        </w:tc>
        <w:tc>
          <w:tcPr>
            <w:tcW w:type="dxa" w:w="5040"/>
            <w:vAlign w:val="center"/>
          </w:tcPr>
          <w:p>
            <w:r/>
            <w:r>
              <w:rPr>
                <w:rFonts w:ascii="Aptos" w:hAnsi="Aptos"/>
                <w:b w:val="0"/>
                <w:sz w:val="16"/>
              </w:rPr>
              <w:t>Observed or derived value; never silently overwrites raw.</w:t>
            </w:r>
          </w:p>
        </w:tc>
      </w:tr>
      <w:tr>
        <w:trPr>
          <w:cantSplit/>
        </w:trPr>
        <w:tc>
          <w:tcPr>
            <w:tcW w:type="dxa" w:w="5040"/>
            <w:vAlign w:val="center"/>
          </w:tcPr>
          <w:p>
            <w:r/>
            <w:r>
              <w:rPr>
                <w:rFonts w:ascii="Aptos" w:hAnsi="Aptos"/>
                <w:b w:val="0"/>
                <w:sz w:val="16"/>
              </w:rPr>
              <w:t>observed_flag</w:t>
            </w:r>
          </w:p>
        </w:tc>
        <w:tc>
          <w:tcPr>
            <w:tcW w:type="dxa" w:w="5040"/>
            <w:vAlign w:val="center"/>
          </w:tcPr>
          <w:p>
            <w:r/>
            <w:r>
              <w:rPr>
                <w:rFonts w:ascii="Aptos" w:hAnsi="Aptos"/>
                <w:b w:val="0"/>
                <w:sz w:val="16"/>
              </w:rPr>
              <w:t>1 only when a valid observation exists.</w:t>
            </w:r>
          </w:p>
        </w:tc>
      </w:tr>
      <w:tr>
        <w:trPr>
          <w:cantSplit/>
        </w:trPr>
        <w:tc>
          <w:tcPr>
            <w:tcW w:type="dxa" w:w="5040"/>
            <w:vAlign w:val="center"/>
          </w:tcPr>
          <w:p>
            <w:r/>
            <w:r>
              <w:rPr>
                <w:rFonts w:ascii="Aptos" w:hAnsi="Aptos"/>
                <w:b w:val="0"/>
                <w:sz w:val="16"/>
              </w:rPr>
              <w:t>applicable_flag</w:t>
            </w:r>
          </w:p>
        </w:tc>
        <w:tc>
          <w:tcPr>
            <w:tcW w:type="dxa" w:w="5040"/>
            <w:vAlign w:val="center"/>
          </w:tcPr>
          <w:p>
            <w:r/>
            <w:r>
              <w:rPr>
                <w:rFonts w:ascii="Aptos" w:hAnsi="Aptos"/>
                <w:b w:val="0"/>
                <w:sz w:val="16"/>
              </w:rPr>
              <w:t>1 when the variable is conceptually eligible.</w:t>
            </w:r>
          </w:p>
        </w:tc>
      </w:tr>
      <w:tr>
        <w:trPr>
          <w:cantSplit/>
        </w:trPr>
        <w:tc>
          <w:tcPr>
            <w:tcW w:type="dxa" w:w="5040"/>
            <w:vAlign w:val="center"/>
          </w:tcPr>
          <w:p>
            <w:r/>
            <w:r>
              <w:rPr>
                <w:rFonts w:ascii="Aptos" w:hAnsi="Aptos"/>
                <w:b w:val="0"/>
                <w:sz w:val="16"/>
              </w:rPr>
              <w:t>response_status</w:t>
            </w:r>
          </w:p>
        </w:tc>
        <w:tc>
          <w:tcPr>
            <w:tcW w:type="dxa" w:w="5040"/>
            <w:vAlign w:val="center"/>
          </w:tcPr>
          <w:p>
            <w:r/>
            <w:r>
              <w:rPr>
                <w:rFonts w:ascii="Aptos" w:hAnsi="Aptos"/>
                <w:b w:val="0"/>
                <w:sz w:val="16"/>
              </w:rPr>
              <w:t>Observed / refused / don't know / not done / other.</w:t>
            </w:r>
          </w:p>
        </w:tc>
      </w:tr>
      <w:tr>
        <w:trPr>
          <w:cantSplit/>
        </w:trPr>
        <w:tc>
          <w:tcPr>
            <w:tcW w:type="dxa" w:w="5040"/>
            <w:vAlign w:val="center"/>
          </w:tcPr>
          <w:p>
            <w:r/>
            <w:r>
              <w:rPr>
                <w:rFonts w:ascii="Aptos" w:hAnsi="Aptos"/>
                <w:b w:val="0"/>
                <w:sz w:val="16"/>
              </w:rPr>
              <w:t>censored_flag</w:t>
            </w:r>
          </w:p>
        </w:tc>
        <w:tc>
          <w:tcPr>
            <w:tcW w:type="dxa" w:w="5040"/>
            <w:vAlign w:val="center"/>
          </w:tcPr>
          <w:p>
            <w:r/>
            <w:r>
              <w:rPr>
                <w:rFonts w:ascii="Aptos" w:hAnsi="Aptos"/>
                <w:b w:val="0"/>
                <w:sz w:val="16"/>
              </w:rPr>
              <w:t>1 when NHANES top-coding/censoring applies.</w:t>
            </w:r>
          </w:p>
        </w:tc>
      </w:tr>
      <w:tr>
        <w:trPr>
          <w:cantSplit/>
        </w:trPr>
        <w:tc>
          <w:tcPr>
            <w:tcW w:type="dxa" w:w="5040"/>
            <w:vAlign w:val="center"/>
          </w:tcPr>
          <w:p>
            <w:r/>
            <w:r>
              <w:rPr>
                <w:rFonts w:ascii="Aptos" w:hAnsi="Aptos"/>
                <w:b w:val="0"/>
                <w:sz w:val="16"/>
              </w:rPr>
              <w:t>imputed_flag</w:t>
            </w:r>
          </w:p>
        </w:tc>
        <w:tc>
          <w:tcPr>
            <w:tcW w:type="dxa" w:w="5040"/>
            <w:vAlign w:val="center"/>
          </w:tcPr>
          <w:p>
            <w:r/>
            <w:r>
              <w:rPr>
                <w:rFonts w:ascii="Aptos" w:hAnsi="Aptos"/>
                <w:b w:val="0"/>
                <w:sz w:val="16"/>
              </w:rPr>
              <w:t>1 only for values generated by an imputation procedure.</w:t>
            </w:r>
          </w:p>
        </w:tc>
      </w:tr>
      <w:tr>
        <w:trPr>
          <w:cantSplit/>
        </w:trPr>
        <w:tc>
          <w:tcPr>
            <w:tcW w:type="dxa" w:w="5040"/>
            <w:vAlign w:val="center"/>
          </w:tcPr>
          <w:p>
            <w:r/>
            <w:r>
              <w:rPr>
                <w:rFonts w:ascii="Aptos" w:hAnsi="Aptos"/>
                <w:b w:val="0"/>
                <w:sz w:val="16"/>
              </w:rPr>
              <w:t>source_variable</w:t>
            </w:r>
          </w:p>
        </w:tc>
        <w:tc>
          <w:tcPr>
            <w:tcW w:type="dxa" w:w="5040"/>
            <w:vAlign w:val="center"/>
          </w:tcPr>
          <w:p>
            <w:r/>
            <w:r>
              <w:rPr>
                <w:rFonts w:ascii="Aptos" w:hAnsi="Aptos"/>
                <w:b w:val="0"/>
                <w:sz w:val="16"/>
              </w:rPr>
              <w:t>Original NHANES variable name.</w:t>
            </w:r>
          </w:p>
        </w:tc>
      </w:tr>
      <w:tr>
        <w:trPr>
          <w:cantSplit/>
        </w:trPr>
        <w:tc>
          <w:tcPr>
            <w:tcW w:type="dxa" w:w="5040"/>
            <w:vAlign w:val="center"/>
          </w:tcPr>
          <w:p>
            <w:r/>
            <w:r>
              <w:rPr>
                <w:rFonts w:ascii="Aptos" w:hAnsi="Aptos"/>
                <w:b w:val="0"/>
                <w:sz w:val="16"/>
              </w:rPr>
              <w:t>source_file</w:t>
            </w:r>
          </w:p>
        </w:tc>
        <w:tc>
          <w:tcPr>
            <w:tcW w:type="dxa" w:w="5040"/>
            <w:vAlign w:val="center"/>
          </w:tcPr>
          <w:p>
            <w:r/>
            <w:r>
              <w:rPr>
                <w:rFonts w:ascii="Aptos" w:hAnsi="Aptos"/>
                <w:b w:val="0"/>
                <w:sz w:val="16"/>
              </w:rPr>
              <w:t>Source component/file.</w:t>
            </w:r>
          </w:p>
        </w:tc>
      </w:tr>
      <w:tr>
        <w:trPr>
          <w:cantSplit/>
        </w:trPr>
        <w:tc>
          <w:tcPr>
            <w:tcW w:type="dxa" w:w="5040"/>
            <w:vAlign w:val="center"/>
          </w:tcPr>
          <w:p>
            <w:r/>
            <w:r>
              <w:rPr>
                <w:rFonts w:ascii="Aptos" w:hAnsi="Aptos"/>
                <w:b w:val="0"/>
                <w:sz w:val="16"/>
              </w:rPr>
              <w:t>transform_version</w:t>
            </w:r>
          </w:p>
        </w:tc>
        <w:tc>
          <w:tcPr>
            <w:tcW w:type="dxa" w:w="5040"/>
            <w:vAlign w:val="center"/>
          </w:tcPr>
          <w:p>
            <w:r/>
            <w:r>
              <w:rPr>
                <w:rFonts w:ascii="Aptos" w:hAnsi="Aptos"/>
                <w:b w:val="0"/>
                <w:sz w:val="16"/>
              </w:rPr>
              <w:t>Versioned preprocessing rule.</w:t>
            </w:r>
          </w:p>
        </w:tc>
      </w:tr>
    </w:tbl>
    <w:p>
      <w:pPr>
        <w:pStyle w:val="Heading1"/>
      </w:pPr>
      <w:r>
        <w:t>12. Proposed Experimental Study for Missingness-Aware MIR</w:t>
      </w:r>
    </w:p>
    <w:p>
      <w:r>
        <w:t>DEMO_L itself is primarily a demographic/design table and does not provide the disease outcome required for a clinically meaningful prediction paper. It should therefore serve as the first data-engineering validation study, followed by the laboratory and questionnaire components.</w:t>
      </w:r>
    </w:p>
    <w:p>
      <w:pPr>
        <w:pStyle w:val="Heading2"/>
      </w:pPr>
      <w:r>
        <w:t>12.1 Experiment A — Missingness characterization</w:t>
      </w:r>
    </w:p>
    <w:p>
      <w:pPr>
        <w:pStyle w:val="ListBullet"/>
      </w:pPr>
      <w:r>
        <w:t>Compare raw null rates with codebook-derived structural applicability rates.</w:t>
      </w:r>
    </w:p>
    <w:p>
      <w:pPr>
        <w:pStyle w:val="ListBullet"/>
      </w:pPr>
      <w:r>
        <w:t>Produce feature-level missingness state distributions.</w:t>
      </w:r>
    </w:p>
    <w:p>
      <w:pPr>
        <w:pStyle w:val="ListBullet"/>
      </w:pPr>
      <w:r>
        <w:t>Quantify missingness by age band, sex, race/ethnicity, and examination status.</w:t>
      </w:r>
    </w:p>
    <w:p>
      <w:pPr>
        <w:pStyle w:val="ListBullet"/>
      </w:pPr>
      <w:r>
        <w:t>Measure patterns of co-missingness across components after the full NHANES merge.</w:t>
      </w:r>
    </w:p>
    <w:p>
      <w:pPr>
        <w:pStyle w:val="Heading2"/>
      </w:pPr>
      <w:r>
        <w:t>12.2 Experiment B — Preprocessing benchmark</w:t>
      </w:r>
    </w:p>
    <w:p>
      <w:pPr>
        <w:pStyle w:val="ListBullet"/>
      </w:pPr>
      <w:r>
        <w:t>Pipeline 0: raw values + explicit missingness states.</w:t>
      </w:r>
    </w:p>
    <w:p>
      <w:pPr>
        <w:pStyle w:val="ListBullet"/>
      </w:pPr>
      <w:r>
        <w:t>Pipeline 1: complete-case baseline.</w:t>
      </w:r>
    </w:p>
    <w:p>
      <w:pPr>
        <w:pStyle w:val="ListBullet"/>
      </w:pPr>
      <w:r>
        <w:t>Pipeline 2: native-missing tree model.</w:t>
      </w:r>
    </w:p>
    <w:p>
      <w:pPr>
        <w:pStyle w:val="ListBullet"/>
      </w:pPr>
      <w:r>
        <w:t>Pipeline 3: missingness indicators + simple conditional imputation.</w:t>
      </w:r>
    </w:p>
    <w:p>
      <w:pPr>
        <w:pStyle w:val="ListBullet"/>
      </w:pPr>
      <w:r>
        <w:t>Pipeline 4: multiple imputation / chained equations where scientifically eligible.</w:t>
      </w:r>
    </w:p>
    <w:p>
      <w:pPr>
        <w:pStyle w:val="ListBullet"/>
      </w:pPr>
      <w:r>
        <w:t>Compare performance, calibration, sample retention, uncertainty, and stability.</w:t>
      </w:r>
    </w:p>
    <w:p>
      <w:pPr>
        <w:pStyle w:val="Heading2"/>
      </w:pPr>
      <w:r>
        <w:t>12.3 Experiment C — Synthetic missingness masking</w:t>
      </w:r>
    </w:p>
    <w:p>
      <w:r>
        <w:t>Because NHANES documentation does not provide the counterfactual value that would have been observed if a structurally missing field had been collected, adaptive-recovery methods should initially be evaluated through masking experiments. Take participants with complete observed values for a target subset, hide selected observations according to prespecified patterns, then compare how accurately each strategy reconstructs the masked value or preserves downstream prediction. This directly supports the MIR concept of learning under partial evidence without pretending that unobserved clinical information is known.</w:t>
      </w:r>
    </w:p>
    <w:p>
      <w:pPr>
        <w:pStyle w:val="Heading1"/>
      </w:pPr>
      <w:r>
        <w:t>13. Statistical and Machine-Learning Evaluation Framework</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D9E2F3"/>
          </w:tcPr>
          <w:p>
            <w:r/>
            <w:r>
              <w:rPr>
                <w:rFonts w:ascii="Aptos" w:hAnsi="Aptos"/>
                <w:b/>
                <w:sz w:val="16"/>
              </w:rPr>
              <w:t>Outcome</w:t>
            </w:r>
          </w:p>
        </w:tc>
        <w:tc>
          <w:tcPr>
            <w:tcW w:type="dxa" w:w="5040"/>
            <w:vAlign w:val="center"/>
            <w:shd w:fill="D9E2F3"/>
          </w:tcPr>
          <w:p>
            <w:r/>
            <w:r>
              <w:rPr>
                <w:rFonts w:ascii="Aptos" w:hAnsi="Aptos"/>
                <w:b/>
                <w:sz w:val="16"/>
              </w:rPr>
              <w:t>Recommended metrics</w:t>
            </w:r>
          </w:p>
        </w:tc>
      </w:tr>
      <w:tr>
        <w:trPr>
          <w:cantSplit/>
        </w:trPr>
        <w:tc>
          <w:tcPr>
            <w:tcW w:type="dxa" w:w="5040"/>
            <w:vAlign w:val="center"/>
          </w:tcPr>
          <w:p>
            <w:r/>
            <w:r>
              <w:rPr>
                <w:rFonts w:ascii="Aptos" w:hAnsi="Aptos"/>
                <w:b w:val="0"/>
                <w:sz w:val="16"/>
              </w:rPr>
              <w:t>Continuous prediction</w:t>
            </w:r>
          </w:p>
        </w:tc>
        <w:tc>
          <w:tcPr>
            <w:tcW w:type="dxa" w:w="5040"/>
            <w:vAlign w:val="center"/>
          </w:tcPr>
          <w:p>
            <w:r/>
            <w:r>
              <w:rPr>
                <w:rFonts w:ascii="Aptos" w:hAnsi="Aptos"/>
                <w:b w:val="0"/>
                <w:sz w:val="16"/>
              </w:rPr>
              <w:t>MAE, RMSE, calibration / agreement, distributional diagnostics</w:t>
            </w:r>
          </w:p>
        </w:tc>
      </w:tr>
      <w:tr>
        <w:trPr>
          <w:cantSplit/>
        </w:trPr>
        <w:tc>
          <w:tcPr>
            <w:tcW w:type="dxa" w:w="5040"/>
            <w:vAlign w:val="center"/>
          </w:tcPr>
          <w:p>
            <w:r/>
            <w:r>
              <w:rPr>
                <w:rFonts w:ascii="Aptos" w:hAnsi="Aptos"/>
                <w:b w:val="0"/>
                <w:sz w:val="16"/>
              </w:rPr>
              <w:t>Binary prediction</w:t>
            </w:r>
          </w:p>
        </w:tc>
        <w:tc>
          <w:tcPr>
            <w:tcW w:type="dxa" w:w="5040"/>
            <w:vAlign w:val="center"/>
          </w:tcPr>
          <w:p>
            <w:r/>
            <w:r>
              <w:rPr>
                <w:rFonts w:ascii="Aptos" w:hAnsi="Aptos"/>
                <w:b w:val="0"/>
                <w:sz w:val="16"/>
              </w:rPr>
              <w:t>AUROC, AUPRC, sensitivity, specificity, PPV, NPV, Brier score</w:t>
            </w:r>
          </w:p>
        </w:tc>
      </w:tr>
      <w:tr>
        <w:trPr>
          <w:cantSplit/>
        </w:trPr>
        <w:tc>
          <w:tcPr>
            <w:tcW w:type="dxa" w:w="5040"/>
            <w:vAlign w:val="center"/>
          </w:tcPr>
          <w:p>
            <w:r/>
            <w:r>
              <w:rPr>
                <w:rFonts w:ascii="Aptos" w:hAnsi="Aptos"/>
                <w:b w:val="0"/>
                <w:sz w:val="16"/>
              </w:rPr>
              <w:t>Calibration</w:t>
            </w:r>
          </w:p>
        </w:tc>
        <w:tc>
          <w:tcPr>
            <w:tcW w:type="dxa" w:w="5040"/>
            <w:vAlign w:val="center"/>
          </w:tcPr>
          <w:p>
            <w:r/>
            <w:r>
              <w:rPr>
                <w:rFonts w:ascii="Aptos" w:hAnsi="Aptos"/>
                <w:b w:val="0"/>
                <w:sz w:val="16"/>
              </w:rPr>
              <w:t>Calibration intercept/slope, calibration plot, Brier score</w:t>
            </w:r>
          </w:p>
        </w:tc>
      </w:tr>
      <w:tr>
        <w:trPr>
          <w:cantSplit/>
        </w:trPr>
        <w:tc>
          <w:tcPr>
            <w:tcW w:type="dxa" w:w="5040"/>
            <w:vAlign w:val="center"/>
          </w:tcPr>
          <w:p>
            <w:r/>
            <w:r>
              <w:rPr>
                <w:rFonts w:ascii="Aptos" w:hAnsi="Aptos"/>
                <w:b w:val="0"/>
                <w:sz w:val="16"/>
              </w:rPr>
              <w:t>Survival (later)</w:t>
            </w:r>
          </w:p>
        </w:tc>
        <w:tc>
          <w:tcPr>
            <w:tcW w:type="dxa" w:w="5040"/>
            <w:vAlign w:val="center"/>
          </w:tcPr>
          <w:p>
            <w:r/>
            <w:r>
              <w:rPr>
                <w:rFonts w:ascii="Aptos" w:hAnsi="Aptos"/>
                <w:b w:val="0"/>
                <w:sz w:val="16"/>
              </w:rPr>
              <w:t>C-index, time-dependent AUC, calibration</w:t>
            </w:r>
          </w:p>
        </w:tc>
      </w:tr>
      <w:tr>
        <w:trPr>
          <w:cantSplit/>
        </w:trPr>
        <w:tc>
          <w:tcPr>
            <w:tcW w:type="dxa" w:w="5040"/>
            <w:vAlign w:val="center"/>
          </w:tcPr>
          <w:p>
            <w:r/>
            <w:r>
              <w:rPr>
                <w:rFonts w:ascii="Aptos" w:hAnsi="Aptos"/>
                <w:b w:val="0"/>
                <w:sz w:val="16"/>
              </w:rPr>
              <w:t>Missing-value reconstruction</w:t>
            </w:r>
          </w:p>
        </w:tc>
        <w:tc>
          <w:tcPr>
            <w:tcW w:type="dxa" w:w="5040"/>
            <w:vAlign w:val="center"/>
          </w:tcPr>
          <w:p>
            <w:r/>
            <w:r>
              <w:rPr>
                <w:rFonts w:ascii="Aptos" w:hAnsi="Aptos"/>
                <w:b w:val="0"/>
                <w:sz w:val="16"/>
              </w:rPr>
              <w:t>MAE/RMSE for continuous; accuracy/F1/log-loss for categorical</w:t>
            </w:r>
          </w:p>
        </w:tc>
      </w:tr>
      <w:tr>
        <w:trPr>
          <w:cantSplit/>
        </w:trPr>
        <w:tc>
          <w:tcPr>
            <w:tcW w:type="dxa" w:w="5040"/>
            <w:vAlign w:val="center"/>
          </w:tcPr>
          <w:p>
            <w:r/>
            <w:r>
              <w:rPr>
                <w:rFonts w:ascii="Aptos" w:hAnsi="Aptos"/>
                <w:b w:val="0"/>
                <w:sz w:val="16"/>
              </w:rPr>
              <w:t>Uncertainty</w:t>
            </w:r>
          </w:p>
        </w:tc>
        <w:tc>
          <w:tcPr>
            <w:tcW w:type="dxa" w:w="5040"/>
            <w:vAlign w:val="center"/>
          </w:tcPr>
          <w:p>
            <w:r/>
            <w:r>
              <w:rPr>
                <w:rFonts w:ascii="Aptos" w:hAnsi="Aptos"/>
                <w:b w:val="0"/>
                <w:sz w:val="16"/>
              </w:rPr>
              <w:t>Coverage, interval width, calibration of predictive confidence</w:t>
            </w:r>
          </w:p>
        </w:tc>
      </w:tr>
      <w:tr>
        <w:trPr>
          <w:cantSplit/>
        </w:trPr>
        <w:tc>
          <w:tcPr>
            <w:tcW w:type="dxa" w:w="5040"/>
            <w:vAlign w:val="center"/>
          </w:tcPr>
          <w:p>
            <w:r/>
            <w:r>
              <w:rPr>
                <w:rFonts w:ascii="Aptos" w:hAnsi="Aptos"/>
                <w:b w:val="0"/>
                <w:sz w:val="16"/>
              </w:rPr>
              <w:t>Robustness</w:t>
            </w:r>
          </w:p>
        </w:tc>
        <w:tc>
          <w:tcPr>
            <w:tcW w:type="dxa" w:w="5040"/>
            <w:vAlign w:val="center"/>
          </w:tcPr>
          <w:p>
            <w:r/>
            <w:r>
              <w:rPr>
                <w:rFonts w:ascii="Aptos" w:hAnsi="Aptos"/>
                <w:b w:val="0"/>
                <w:sz w:val="16"/>
              </w:rPr>
              <w:t>Performance across missingness strata and predefined subgroups</w:t>
            </w:r>
          </w:p>
        </w:tc>
      </w:tr>
      <w:tr>
        <w:trPr>
          <w:cantSplit/>
        </w:trPr>
        <w:tc>
          <w:tcPr>
            <w:tcW w:type="dxa" w:w="5040"/>
            <w:vAlign w:val="center"/>
          </w:tcPr>
          <w:p>
            <w:r/>
            <w:r>
              <w:rPr>
                <w:rFonts w:ascii="Aptos" w:hAnsi="Aptos"/>
                <w:b w:val="0"/>
                <w:sz w:val="16"/>
              </w:rPr>
              <w:t>Survey inference</w:t>
            </w:r>
          </w:p>
        </w:tc>
        <w:tc>
          <w:tcPr>
            <w:tcW w:type="dxa" w:w="5040"/>
            <w:vAlign w:val="center"/>
          </w:tcPr>
          <w:p>
            <w:r/>
            <w:r>
              <w:rPr>
                <w:rFonts w:ascii="Aptos" w:hAnsi="Aptos"/>
                <w:b w:val="0"/>
                <w:sz w:val="16"/>
              </w:rPr>
              <w:t>Design-consistent estimates and variance procedures where applicable</w:t>
            </w:r>
          </w:p>
        </w:tc>
      </w:tr>
    </w:tbl>
    <w:p>
      <w:r>
        <w:t>For future clinical prediction papers, the reporting plan should align with TRIPOD+AI, which is designed for prediction models developed using regression or machine-learning methods and supersedes the earlier TRIPOD 2015 checklist.</w:t>
      </w:r>
    </w:p>
    <w:p>
      <w:pPr>
        <w:pStyle w:val="Heading1"/>
      </w:pPr>
      <w:r>
        <w:t>14. Limitations of the Current EDA</w:t>
      </w:r>
    </w:p>
    <w:p>
      <w:pPr>
        <w:pStyle w:val="ListBullet"/>
      </w:pPr>
      <w:r>
        <w:t>The supplied EDA is based on DEMO_L summary output rather than a fresh programmatic inspection of every raw record; therefore, conclusions about exact row-level relationships are limited to the counts and tables provided and the NHANES codebook.</w:t>
      </w:r>
    </w:p>
    <w:p>
      <w:pPr>
        <w:pStyle w:val="ListBullet"/>
      </w:pPr>
      <w:r>
        <w:t>The current analysis covers one NHANES cycle and one file. It cannot establish generalizability to other cycles or clinical populations.</w:t>
      </w:r>
    </w:p>
    <w:p>
      <w:pPr>
        <w:pStyle w:val="ListBullet"/>
      </w:pPr>
      <w:r>
        <w:t>Raw null percentages do not reveal the complete missingness mechanism. Additional component-level documentation and row-level cross-tabs are needed.</w:t>
      </w:r>
    </w:p>
    <w:p>
      <w:pPr>
        <w:pStyle w:val="ListBullet"/>
      </w:pPr>
      <w:r>
        <w:t>The present report does not establish a disease endpoint or clinical utility outcome. It is a data-quality and methodology report.</w:t>
      </w:r>
    </w:p>
    <w:p>
      <w:pPr>
        <w:pStyle w:val="ListBullet"/>
      </w:pPr>
      <w:r>
        <w:t>Some variables are deliberately top-coded or recoded for disclosure protection; exact underlying values cannot be reconstructed from the public-use file.</w:t>
      </w:r>
    </w:p>
    <w:p>
      <w:pPr>
        <w:pStyle w:val="ListBullet"/>
      </w:pPr>
      <w:r>
        <w:t>Future laboratory analyses will require component-specific weights, eligibility rules, laboratory methods, detection limits, and possibly phlebotomy weights.</w:t>
      </w:r>
    </w:p>
    <w:p>
      <w:pPr>
        <w:pStyle w:val="Heading1"/>
      </w:pPr>
      <w:r>
        <w:t>15. Final Recommendations for the MIR Research Program</w:t>
      </w:r>
    </w:p>
    <w:p>
      <w:pPr>
        <w:ind w:left="0" w:firstLine="0"/>
      </w:pPr>
      <w:r>
        <w:t>1. Preserve the raw DEMO_L file unchanged and maintain a versioned data dictionary.</w:t>
      </w:r>
    </w:p>
    <w:p>
      <w:pPr>
        <w:ind w:left="0" w:firstLine="0"/>
      </w:pPr>
      <w:r>
        <w:t>2. Treat semantic type separately from physical pandas type.</w:t>
      </w:r>
    </w:p>
    <w:p>
      <w:pPr>
        <w:ind w:left="0" w:firstLine="0"/>
      </w:pPr>
      <w:r>
        <w:t>3. Create an explicit availability-state layer before feature engineering.</w:t>
      </w:r>
    </w:p>
    <w:p>
      <w:pPr>
        <w:ind w:left="0" w:firstLine="0"/>
      </w:pPr>
      <w:r>
        <w:t>4. Use SEQN only for linkage; do not expose it to predictive models.</w:t>
      </w:r>
    </w:p>
    <w:p>
      <w:pPr>
        <w:ind w:left="0" w:firstLine="0"/>
      </w:pPr>
      <w:r>
        <w:t>5. Retain survey weights and design variables as metadata/design fields, not predictors.</w:t>
      </w:r>
    </w:p>
    <w:p>
      <w:pPr>
        <w:ind w:left="0" w:firstLine="0"/>
      </w:pPr>
      <w:r>
        <w:t>6. Prefer RIDRETH3 over RIDRETH1 when one primary race/ethnicity representation is needed, unless a specific historical-comparability analysis requires the legacy coding.</w:t>
      </w:r>
    </w:p>
    <w:p>
      <w:pPr>
        <w:ind w:left="0" w:firstLine="0"/>
      </w:pPr>
      <w:r>
        <w:t>7. Do not globally impute age-specific, sex-specific, or examination-specific variables.</w:t>
      </w:r>
    </w:p>
    <w:p>
      <w:pPr>
        <w:ind w:left="0" w:firstLine="0"/>
      </w:pPr>
      <w:r>
        <w:t>8. Convert special response codes to explicit status states before statistical analysis.</w:t>
      </w:r>
    </w:p>
    <w:p>
      <w:pPr>
        <w:ind w:left="0" w:firstLine="0"/>
      </w:pPr>
      <w:r>
        <w:t>9. Treat top-coded values as censored categories rather than exact numbers.</w:t>
      </w:r>
    </w:p>
    <w:p>
      <w:pPr>
        <w:ind w:left="0" w:firstLine="0"/>
      </w:pPr>
      <w:r>
        <w:t>10. Use complete-case analysis only as a benchmark/sensitivity analysis.</w:t>
      </w:r>
    </w:p>
    <w:p>
      <w:pPr>
        <w:ind w:left="0" w:firstLine="0"/>
      </w:pPr>
      <w:r>
        <w:t>11. Compare native missing-value models, missingness indicators, and multiple-imputation strategies under controlled cross-validation.</w:t>
      </w:r>
    </w:p>
    <w:p>
      <w:pPr>
        <w:ind w:left="0" w:firstLine="0"/>
      </w:pPr>
      <w:r>
        <w:t>12. Fit all preprocessing and imputation operations within training folds.</w:t>
      </w:r>
    </w:p>
    <w:p>
      <w:pPr>
        <w:ind w:left="0" w:firstLine="0"/>
      </w:pPr>
      <w:r>
        <w:t>13. Include survey design correctly for population-level inference and report the exact weight used.</w:t>
      </w:r>
    </w:p>
    <w:p>
      <w:pPr>
        <w:ind w:left="0" w:firstLine="0"/>
      </w:pPr>
      <w:r>
        <w:t>14. Do not claim that imputation recovers the true unobserved clinical value; report imputation uncertainty.</w:t>
      </w:r>
    </w:p>
    <w:p>
      <w:pPr>
        <w:ind w:left="0" w:firstLine="0"/>
      </w:pPr>
      <w:r>
        <w:t>15. Use DEMO_L to validate the MIR evidence-state data architecture before integrating laboratory, examination, dietary, and questionnaire components.</w:t>
      </w:r>
    </w:p>
    <w:p>
      <w:pPr>
        <w:pStyle w:val="Heading1"/>
      </w:pPr>
      <w:r>
        <w:t>16. Potential Scientific Paper Positioning</w:t>
      </w:r>
    </w:p>
    <w:p>
      <w:r>
        <w:t>The current work is strong enough to become a reproducible methodological or data-engineering report, but it should not yet be presented as a clinical prediction study because no disease endpoint, laboratory panel, model, external validation set, or clinical utility analysis has been demonstrated. A future paper can build directly on this work once the laboratory and questionnaire components are integrated.</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D9E2F3"/>
          </w:tcPr>
          <w:p>
            <w:r/>
            <w:r>
              <w:rPr>
                <w:rFonts w:ascii="Aptos" w:hAnsi="Aptos"/>
                <w:b/>
                <w:sz w:val="16"/>
              </w:rPr>
              <w:t>Possible manuscript</w:t>
            </w:r>
          </w:p>
        </w:tc>
        <w:tc>
          <w:tcPr>
            <w:tcW w:type="dxa" w:w="3360"/>
            <w:vAlign w:val="center"/>
            <w:shd w:fill="D9E2F3"/>
          </w:tcPr>
          <w:p>
            <w:r/>
            <w:r>
              <w:rPr>
                <w:rFonts w:ascii="Aptos" w:hAnsi="Aptos"/>
                <w:b/>
                <w:sz w:val="16"/>
              </w:rPr>
              <w:t>Core research question</w:t>
            </w:r>
          </w:p>
        </w:tc>
        <w:tc>
          <w:tcPr>
            <w:tcW w:type="dxa" w:w="3360"/>
            <w:vAlign w:val="center"/>
            <w:shd w:fill="D9E2F3"/>
          </w:tcPr>
          <w:p>
            <w:r/>
            <w:r>
              <w:rPr>
                <w:rFonts w:ascii="Aptos" w:hAnsi="Aptos"/>
                <w:b/>
                <w:sz w:val="16"/>
              </w:rPr>
              <w:t>Required next evidence</w:t>
            </w:r>
          </w:p>
        </w:tc>
      </w:tr>
      <w:tr>
        <w:trPr>
          <w:cantSplit/>
        </w:trPr>
        <w:tc>
          <w:tcPr>
            <w:tcW w:type="dxa" w:w="3360"/>
            <w:vAlign w:val="center"/>
          </w:tcPr>
          <w:p>
            <w:r/>
            <w:r>
              <w:rPr>
                <w:rFonts w:ascii="Aptos" w:hAnsi="Aptos"/>
                <w:b w:val="0"/>
                <w:sz w:val="16"/>
              </w:rPr>
              <w:t>Paper 1 — NHANES Missingness and Evidence-State Engineering</w:t>
            </w:r>
          </w:p>
        </w:tc>
        <w:tc>
          <w:tcPr>
            <w:tcW w:type="dxa" w:w="3360"/>
            <w:vAlign w:val="center"/>
          </w:tcPr>
          <w:p>
            <w:r/>
            <w:r>
              <w:rPr>
                <w:rFonts w:ascii="Aptos" w:hAnsi="Aptos"/>
                <w:b w:val="0"/>
                <w:sz w:val="16"/>
              </w:rPr>
              <w:t>How should heterogeneous missingness in NHANES be represented for medical AI?</w:t>
            </w:r>
          </w:p>
        </w:tc>
        <w:tc>
          <w:tcPr>
            <w:tcW w:type="dxa" w:w="3360"/>
            <w:vAlign w:val="center"/>
          </w:tcPr>
          <w:p>
            <w:r/>
            <w:r>
              <w:rPr>
                <w:rFonts w:ascii="Aptos" w:hAnsi="Aptos"/>
                <w:b w:val="0"/>
                <w:sz w:val="16"/>
              </w:rPr>
              <w:t>Full cross-component merge, missingness-state taxonomy, reproducible preprocessing.</w:t>
            </w:r>
          </w:p>
        </w:tc>
      </w:tr>
      <w:tr>
        <w:trPr>
          <w:cantSplit/>
        </w:trPr>
        <w:tc>
          <w:tcPr>
            <w:tcW w:type="dxa" w:w="3360"/>
            <w:vAlign w:val="center"/>
          </w:tcPr>
          <w:p>
            <w:r/>
            <w:r>
              <w:rPr>
                <w:rFonts w:ascii="Aptos" w:hAnsi="Aptos"/>
                <w:b w:val="0"/>
                <w:sz w:val="16"/>
              </w:rPr>
              <w:t>Paper 2 — Laboratory Risk Prediction</w:t>
            </w:r>
          </w:p>
        </w:tc>
        <w:tc>
          <w:tcPr>
            <w:tcW w:type="dxa" w:w="3360"/>
            <w:vAlign w:val="center"/>
          </w:tcPr>
          <w:p>
            <w:r/>
            <w:r>
              <w:rPr>
                <w:rFonts w:ascii="Aptos" w:hAnsi="Aptos"/>
                <w:b w:val="0"/>
                <w:sz w:val="16"/>
              </w:rPr>
              <w:t>Can lab-only models predict a prespecified outcome under incomplete evidence?</w:t>
            </w:r>
          </w:p>
        </w:tc>
        <w:tc>
          <w:tcPr>
            <w:tcW w:type="dxa" w:w="3360"/>
            <w:vAlign w:val="center"/>
          </w:tcPr>
          <w:p>
            <w:r/>
            <w:r>
              <w:rPr>
                <w:rFonts w:ascii="Aptos" w:hAnsi="Aptos"/>
                <w:b w:val="0"/>
                <w:sz w:val="16"/>
              </w:rPr>
              <w:t>Laboratory data, outcome, model development, calibration, validation.</w:t>
            </w:r>
          </w:p>
        </w:tc>
      </w:tr>
      <w:tr>
        <w:trPr>
          <w:cantSplit/>
        </w:trPr>
        <w:tc>
          <w:tcPr>
            <w:tcW w:type="dxa" w:w="3360"/>
            <w:vAlign w:val="center"/>
          </w:tcPr>
          <w:p>
            <w:r/>
            <w:r>
              <w:rPr>
                <w:rFonts w:ascii="Aptos" w:hAnsi="Aptos"/>
                <w:b w:val="0"/>
                <w:sz w:val="16"/>
              </w:rPr>
              <w:t>Paper 3 — Missingness-Aware Prediction</w:t>
            </w:r>
          </w:p>
        </w:tc>
        <w:tc>
          <w:tcPr>
            <w:tcW w:type="dxa" w:w="3360"/>
            <w:vAlign w:val="center"/>
          </w:tcPr>
          <w:p>
            <w:r/>
            <w:r>
              <w:rPr>
                <w:rFonts w:ascii="Aptos" w:hAnsi="Aptos"/>
                <w:b w:val="0"/>
                <w:sz w:val="16"/>
              </w:rPr>
              <w:t>Does explicit missingness-state modeling improve reliability over imputation alone?</w:t>
            </w:r>
          </w:p>
        </w:tc>
        <w:tc>
          <w:tcPr>
            <w:tcW w:type="dxa" w:w="3360"/>
            <w:vAlign w:val="center"/>
          </w:tcPr>
          <w:p>
            <w:r/>
            <w:r>
              <w:rPr>
                <w:rFonts w:ascii="Aptos" w:hAnsi="Aptos"/>
                <w:b w:val="0"/>
                <w:sz w:val="16"/>
              </w:rPr>
              <w:t>Controlled masking experiments and external/sensitivity validation.</w:t>
            </w:r>
          </w:p>
        </w:tc>
      </w:tr>
      <w:tr>
        <w:trPr>
          <w:cantSplit/>
        </w:trPr>
        <w:tc>
          <w:tcPr>
            <w:tcW w:type="dxa" w:w="3360"/>
            <w:vAlign w:val="center"/>
          </w:tcPr>
          <w:p>
            <w:r/>
            <w:r>
              <w:rPr>
                <w:rFonts w:ascii="Aptos" w:hAnsi="Aptos"/>
                <w:b w:val="0"/>
                <w:sz w:val="16"/>
              </w:rPr>
              <w:t>Paper 4 — Adaptive Evidence Acquisition</w:t>
            </w:r>
          </w:p>
        </w:tc>
        <w:tc>
          <w:tcPr>
            <w:tcW w:type="dxa" w:w="3360"/>
            <w:vAlign w:val="center"/>
          </w:tcPr>
          <w:p>
            <w:r/>
            <w:r>
              <w:rPr>
                <w:rFonts w:ascii="Aptos" w:hAnsi="Aptos"/>
                <w:b w:val="0"/>
                <w:sz w:val="16"/>
              </w:rPr>
              <w:t>Can uncertainty-driven selection of additional tests improve performance efficiently?</w:t>
            </w:r>
          </w:p>
        </w:tc>
        <w:tc>
          <w:tcPr>
            <w:tcW w:type="dxa" w:w="3360"/>
            <w:vAlign w:val="center"/>
          </w:tcPr>
          <w:p>
            <w:r/>
            <w:r>
              <w:rPr>
                <w:rFonts w:ascii="Aptos" w:hAnsi="Aptos"/>
                <w:b w:val="0"/>
                <w:sz w:val="16"/>
              </w:rPr>
              <w:t>Sequential masking, value-of-information framework, stopping rules.</w:t>
            </w:r>
          </w:p>
        </w:tc>
      </w:tr>
    </w:tbl>
    <w:p>
      <w:pPr>
        <w:pStyle w:val="Heading1"/>
      </w:pPr>
      <w:r>
        <w:t>17. Reproducibility and Research Governance Requirements</w:t>
      </w:r>
    </w:p>
    <w:p>
      <w:pPr>
        <w:pStyle w:val="ListBullet"/>
      </w:pPr>
      <w:r>
        <w:t>Record NHANES release, file name, documentation URL, first-publication date, download date, and checksum where practical.</w:t>
      </w:r>
    </w:p>
    <w:p>
      <w:pPr>
        <w:pStyle w:val="ListBullet"/>
      </w:pPr>
      <w:r>
        <w:t>Store original data outside public repositories when restrictions or terms require it; publish code and data dictionaries rather than restricted participant-level data.</w:t>
      </w:r>
    </w:p>
    <w:p>
      <w:pPr>
        <w:pStyle w:val="ListBullet"/>
      </w:pPr>
      <w:r>
        <w:t>Version every transformation and maintain a CHANGELOG.</w:t>
      </w:r>
    </w:p>
    <w:p>
      <w:pPr>
        <w:pStyle w:val="ListBullet"/>
      </w:pPr>
      <w:r>
        <w:t>Publish a model card and preprocessing specification for every public model release.</w:t>
      </w:r>
    </w:p>
    <w:p>
      <w:pPr>
        <w:pStyle w:val="ListBullet"/>
      </w:pPr>
      <w:r>
        <w:t>Maintain CRediT contributions and authorship records separately from the codebase.</w:t>
      </w:r>
    </w:p>
    <w:p>
      <w:pPr>
        <w:pStyle w:val="ListBullet"/>
      </w:pPr>
      <w:r>
        <w:t>Archive stable code/documentation releases in a DOI-capable archive such as Zenodo when there is a research artifact worth formally preserving.</w:t>
      </w:r>
    </w:p>
    <w:p>
      <w:pPr>
        <w:pStyle w:val="Heading1"/>
      </w:pPr>
      <w:r>
        <w:t>18. Conclusion</w:t>
      </w:r>
    </w:p>
    <w:p>
      <w:r>
        <w:t>The first DEMO_L exploratory analysis should be interpreted as a successful data-understanding exercise rather than simply a missing-value report. The dominant finding is that NHANES missingness is heterogeneous: much of the apparent incompleteness is produced by legitimate survey structure, target-population restrictions, examination participation, disclosure protection, and explicit response categories. Therefore, the correct MIR strategy is not to maximize numerical completeness. It is to maximize truthful representation of what evidence is available, what evidence is unavailable, why it is unavailable when known, and how uncertain any downstream inference should be.</w:t>
      </w:r>
    </w:p>
    <w:p>
      <w:r>
        <w:t>For the MIR Medical Intelligence program, this provides a direct methodological bridge from the project proposal to implementation: the patient evidence state should retain value, status, provenance, eligibility, censoring, and imputation metadata, while the modeling layer should operate on a study-specific feature view. The next scientific step is to repeat this analysis on the laboratory documentation and data, where the missingness problem becomes clinically richer and where survey-specific laboratory eligibility, detection limits, phlebotomy weighting, and analyte-specific methods will determine the final preprocessing and modeling protocol.</w:t>
      </w:r>
    </w:p>
    <w:p>
      <w:pPr>
        <w:pStyle w:val="Heading1"/>
      </w:pPr>
      <w:r>
        <w:t>References</w:t>
      </w:r>
    </w:p>
    <w:p>
      <w:r>
        <w:t>[1] National Center for Health Statistics (NCHS), CDC. “National Health and Nutrition Examination Survey, August 2021–August 2023 Data Documentation, Codebook, and Frequencies: Demographic Variables and Sample Weights (DEMO_L).” First published September 2024.</w:t>
      </w:r>
    </w:p>
    <w:p>
      <w:r>
        <w:t>[2] National Center for Health Statistics (NCHS), CDC. “Brief Overview of Sample Design, Nonresponse Bias Assessment, and Analytic Guidelines for NHANES August 2021–August 2023.” First published September 20, 2024.</w:t>
      </w:r>
    </w:p>
    <w:p>
      <w:r>
        <w:t>[3] National Center for Health Statistics (NCHS), CDC. “Guidelines for High Quality Analyses of NHANES Data.” January 2026.</w:t>
      </w:r>
    </w:p>
    <w:p>
      <w:r>
        <w:t>[4] Collins GS, Moons KGM, Dhiman P, et al. TRIPOD+AI: an updated reporting guideline for clinical prediction models. BMJ. 2024;385:e078378. doi:10.1136/bmj-2023-078378.</w:t>
      </w:r>
    </w:p>
    <w:p>
      <w:r>
        <w:t>[5] Rubin DB. Multiple Imputation for Nonresponse in Surveys. New York: Wiley; 1987.</w:t>
      </w:r>
    </w:p>
    <w:p>
      <w:r>
        <w:t>[6] van Buuren S. Flexible Imputation of Missing Data. 2nd ed. Boca Raton, FL: CRC Press; 2018.</w:t>
      </w:r>
    </w:p>
    <w:p>
      <w:r>
        <w:t>[7] NHANES. “NHANES Questionnaires, Datasets, and Related Documentation — August 2021–August 2023.” CDC/NCHS.</w:t>
      </w:r>
    </w:p>
    <w:p>
      <w:r>
        <w:br w:type="page"/>
      </w:r>
    </w:p>
    <w:p>
      <w:pPr>
        <w:pStyle w:val="Heading1"/>
      </w:pPr>
      <w:r>
        <w:t>Appendix A. DEMO_L Variable Inventory Used in This Report</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D9E2F3"/>
          </w:tcPr>
          <w:p>
            <w:r/>
            <w:r>
              <w:rPr>
                <w:rFonts w:ascii="Aptos" w:hAnsi="Aptos"/>
                <w:b/>
                <w:sz w:val="15"/>
              </w:rPr>
              <w:t>Variable</w:t>
            </w:r>
          </w:p>
        </w:tc>
        <w:tc>
          <w:tcPr>
            <w:tcW w:type="dxa" w:w="2520"/>
            <w:vAlign w:val="center"/>
            <w:shd w:fill="D9E2F3"/>
          </w:tcPr>
          <w:p>
            <w:r/>
            <w:r>
              <w:rPr>
                <w:rFonts w:ascii="Aptos" w:hAnsi="Aptos"/>
                <w:b/>
                <w:sz w:val="15"/>
              </w:rPr>
              <w:t>Semantic type</w:t>
            </w:r>
          </w:p>
        </w:tc>
        <w:tc>
          <w:tcPr>
            <w:tcW w:type="dxa" w:w="2520"/>
            <w:vAlign w:val="center"/>
            <w:shd w:fill="D9E2F3"/>
          </w:tcPr>
          <w:p>
            <w:r/>
            <w:r>
              <w:rPr>
                <w:rFonts w:ascii="Aptos" w:hAnsi="Aptos"/>
                <w:b/>
                <w:sz w:val="15"/>
              </w:rPr>
              <w:t>Raw null %</w:t>
            </w:r>
          </w:p>
        </w:tc>
        <w:tc>
          <w:tcPr>
            <w:tcW w:type="dxa" w:w="2520"/>
            <w:vAlign w:val="center"/>
            <w:shd w:fill="D9E2F3"/>
          </w:tcPr>
          <w:p>
            <w:r/>
            <w:r>
              <w:rPr>
                <w:rFonts w:ascii="Aptos" w:hAnsi="Aptos"/>
                <w:b/>
                <w:sz w:val="15"/>
              </w:rPr>
              <w:t>Analytical note</w:t>
            </w:r>
          </w:p>
        </w:tc>
      </w:tr>
      <w:tr>
        <w:trPr>
          <w:cantSplit/>
        </w:trPr>
        <w:tc>
          <w:tcPr>
            <w:tcW w:type="dxa" w:w="2520"/>
            <w:vAlign w:val="center"/>
          </w:tcPr>
          <w:p>
            <w:r/>
            <w:r>
              <w:rPr>
                <w:rFonts w:ascii="Aptos" w:hAnsi="Aptos"/>
                <w:b w:val="0"/>
                <w:sz w:val="15"/>
              </w:rPr>
              <w:t>SEQN</w:t>
            </w:r>
          </w:p>
        </w:tc>
        <w:tc>
          <w:tcPr>
            <w:tcW w:type="dxa" w:w="2520"/>
            <w:vAlign w:val="center"/>
          </w:tcPr>
          <w:p>
            <w:r/>
            <w:r>
              <w:rPr>
                <w:rFonts w:ascii="Aptos" w:hAnsi="Aptos"/>
                <w:b w:val="0"/>
                <w:sz w:val="15"/>
              </w:rPr>
              <w:t>Identifier</w:t>
            </w:r>
          </w:p>
        </w:tc>
        <w:tc>
          <w:tcPr>
            <w:tcW w:type="dxa" w:w="2520"/>
            <w:vAlign w:val="center"/>
          </w:tcPr>
          <w:p>
            <w:r/>
            <w:r>
              <w:rPr>
                <w:rFonts w:ascii="Aptos" w:hAnsi="Aptos"/>
                <w:b w:val="0"/>
                <w:sz w:val="15"/>
              </w:rPr>
              <w:t>0.00%</w:t>
            </w:r>
          </w:p>
        </w:tc>
        <w:tc>
          <w:tcPr>
            <w:tcW w:type="dxa" w:w="2520"/>
            <w:vAlign w:val="center"/>
          </w:tcPr>
          <w:p>
            <w:r/>
            <w:r>
              <w:rPr>
                <w:rFonts w:ascii="Aptos" w:hAnsi="Aptos"/>
                <w:b w:val="0"/>
                <w:sz w:val="15"/>
              </w:rPr>
              <w:t>Linkage key; not predictor</w:t>
            </w:r>
          </w:p>
        </w:tc>
      </w:tr>
      <w:tr>
        <w:trPr>
          <w:cantSplit/>
        </w:trPr>
        <w:tc>
          <w:tcPr>
            <w:tcW w:type="dxa" w:w="2520"/>
            <w:vAlign w:val="center"/>
          </w:tcPr>
          <w:p>
            <w:r/>
            <w:r>
              <w:rPr>
                <w:rFonts w:ascii="Aptos" w:hAnsi="Aptos"/>
                <w:b w:val="0"/>
                <w:sz w:val="15"/>
              </w:rPr>
              <w:t>SDDSRVYR</w:t>
            </w:r>
          </w:p>
        </w:tc>
        <w:tc>
          <w:tcPr>
            <w:tcW w:type="dxa" w:w="2520"/>
            <w:vAlign w:val="center"/>
          </w:tcPr>
          <w:p>
            <w:r/>
            <w:r>
              <w:rPr>
                <w:rFonts w:ascii="Aptos" w:hAnsi="Aptos"/>
                <w:b w:val="0"/>
                <w:sz w:val="15"/>
              </w:rPr>
              <w:t>Constant metadata</w:t>
            </w:r>
          </w:p>
        </w:tc>
        <w:tc>
          <w:tcPr>
            <w:tcW w:type="dxa" w:w="2520"/>
            <w:vAlign w:val="center"/>
          </w:tcPr>
          <w:p>
            <w:r/>
            <w:r>
              <w:rPr>
                <w:rFonts w:ascii="Aptos" w:hAnsi="Aptos"/>
                <w:b w:val="0"/>
                <w:sz w:val="15"/>
              </w:rPr>
              <w:t>0.00%</w:t>
            </w:r>
          </w:p>
        </w:tc>
        <w:tc>
          <w:tcPr>
            <w:tcW w:type="dxa" w:w="2520"/>
            <w:vAlign w:val="center"/>
          </w:tcPr>
          <w:p>
            <w:r/>
            <w:r>
              <w:rPr>
                <w:rFonts w:ascii="Aptos" w:hAnsi="Aptos"/>
                <w:b w:val="0"/>
                <w:sz w:val="15"/>
              </w:rPr>
              <w:t>Release=12; provenance</w:t>
            </w:r>
          </w:p>
        </w:tc>
      </w:tr>
      <w:tr>
        <w:trPr>
          <w:cantSplit/>
        </w:trPr>
        <w:tc>
          <w:tcPr>
            <w:tcW w:type="dxa" w:w="2520"/>
            <w:vAlign w:val="center"/>
          </w:tcPr>
          <w:p>
            <w:r/>
            <w:r>
              <w:rPr>
                <w:rFonts w:ascii="Aptos" w:hAnsi="Aptos"/>
                <w:b w:val="0"/>
                <w:sz w:val="15"/>
              </w:rPr>
              <w:t>RIDSTATR</w:t>
            </w:r>
          </w:p>
        </w:tc>
        <w:tc>
          <w:tcPr>
            <w:tcW w:type="dxa" w:w="2520"/>
            <w:vAlign w:val="center"/>
          </w:tcPr>
          <w:p>
            <w:r/>
            <w:r>
              <w:rPr>
                <w:rFonts w:ascii="Aptos" w:hAnsi="Aptos"/>
                <w:b w:val="0"/>
                <w:sz w:val="15"/>
              </w:rPr>
              <w:t>Status categorical</w:t>
            </w:r>
          </w:p>
        </w:tc>
        <w:tc>
          <w:tcPr>
            <w:tcW w:type="dxa" w:w="2520"/>
            <w:vAlign w:val="center"/>
          </w:tcPr>
          <w:p>
            <w:r/>
            <w:r>
              <w:rPr>
                <w:rFonts w:ascii="Aptos" w:hAnsi="Aptos"/>
                <w:b w:val="0"/>
                <w:sz w:val="15"/>
              </w:rPr>
              <w:t>0.00%</w:t>
            </w:r>
          </w:p>
        </w:tc>
        <w:tc>
          <w:tcPr>
            <w:tcW w:type="dxa" w:w="2520"/>
            <w:vAlign w:val="center"/>
          </w:tcPr>
          <w:p>
            <w:r/>
            <w:r>
              <w:rPr>
                <w:rFonts w:ascii="Aptos" w:hAnsi="Aptos"/>
                <w:b w:val="0"/>
                <w:sz w:val="15"/>
              </w:rPr>
              <w:t>Interview/exam participation</w:t>
            </w:r>
          </w:p>
        </w:tc>
      </w:tr>
      <w:tr>
        <w:trPr>
          <w:cantSplit/>
        </w:trPr>
        <w:tc>
          <w:tcPr>
            <w:tcW w:type="dxa" w:w="2520"/>
            <w:vAlign w:val="center"/>
          </w:tcPr>
          <w:p>
            <w:r/>
            <w:r>
              <w:rPr>
                <w:rFonts w:ascii="Aptos" w:hAnsi="Aptos"/>
                <w:b w:val="0"/>
                <w:sz w:val="15"/>
              </w:rPr>
              <w:t>RIAGENDR</w:t>
            </w:r>
          </w:p>
        </w:tc>
        <w:tc>
          <w:tcPr>
            <w:tcW w:type="dxa" w:w="2520"/>
            <w:vAlign w:val="center"/>
          </w:tcPr>
          <w:p>
            <w:r/>
            <w:r>
              <w:rPr>
                <w:rFonts w:ascii="Aptos" w:hAnsi="Aptos"/>
                <w:b w:val="0"/>
                <w:sz w:val="15"/>
              </w:rPr>
              <w:t>Categorical</w:t>
            </w:r>
          </w:p>
        </w:tc>
        <w:tc>
          <w:tcPr>
            <w:tcW w:type="dxa" w:w="2520"/>
            <w:vAlign w:val="center"/>
          </w:tcPr>
          <w:p>
            <w:r/>
            <w:r>
              <w:rPr>
                <w:rFonts w:ascii="Aptos" w:hAnsi="Aptos"/>
                <w:b w:val="0"/>
                <w:sz w:val="15"/>
              </w:rPr>
              <w:t>0.00%</w:t>
            </w:r>
          </w:p>
        </w:tc>
        <w:tc>
          <w:tcPr>
            <w:tcW w:type="dxa" w:w="2520"/>
            <w:vAlign w:val="center"/>
          </w:tcPr>
          <w:p>
            <w:r/>
            <w:r>
              <w:rPr>
                <w:rFonts w:ascii="Aptos" w:hAnsi="Aptos"/>
                <w:b w:val="0"/>
                <w:sz w:val="15"/>
              </w:rPr>
              <w:t>Gender</w:t>
            </w:r>
          </w:p>
        </w:tc>
      </w:tr>
      <w:tr>
        <w:trPr>
          <w:cantSplit/>
        </w:trPr>
        <w:tc>
          <w:tcPr>
            <w:tcW w:type="dxa" w:w="2520"/>
            <w:vAlign w:val="center"/>
          </w:tcPr>
          <w:p>
            <w:r/>
            <w:r>
              <w:rPr>
                <w:rFonts w:ascii="Aptos" w:hAnsi="Aptos"/>
                <w:b w:val="0"/>
                <w:sz w:val="15"/>
              </w:rPr>
              <w:t>RIDAGEYR</w:t>
            </w:r>
          </w:p>
        </w:tc>
        <w:tc>
          <w:tcPr>
            <w:tcW w:type="dxa" w:w="2520"/>
            <w:vAlign w:val="center"/>
          </w:tcPr>
          <w:p>
            <w:r/>
            <w:r>
              <w:rPr>
                <w:rFonts w:ascii="Aptos" w:hAnsi="Aptos"/>
                <w:b w:val="0"/>
                <w:sz w:val="15"/>
              </w:rPr>
              <w:t>Continuous/top-coded</w:t>
            </w:r>
          </w:p>
        </w:tc>
        <w:tc>
          <w:tcPr>
            <w:tcW w:type="dxa" w:w="2520"/>
            <w:vAlign w:val="center"/>
          </w:tcPr>
          <w:p>
            <w:r/>
            <w:r>
              <w:rPr>
                <w:rFonts w:ascii="Aptos" w:hAnsi="Aptos"/>
                <w:b w:val="0"/>
                <w:sz w:val="15"/>
              </w:rPr>
              <w:t>0.00%</w:t>
            </w:r>
          </w:p>
        </w:tc>
        <w:tc>
          <w:tcPr>
            <w:tcW w:type="dxa" w:w="2520"/>
            <w:vAlign w:val="center"/>
          </w:tcPr>
          <w:p>
            <w:r/>
            <w:r>
              <w:rPr>
                <w:rFonts w:ascii="Aptos" w:hAnsi="Aptos"/>
                <w:b w:val="0"/>
                <w:sz w:val="15"/>
              </w:rPr>
              <w:t>Age; 80=80+</w:t>
            </w:r>
          </w:p>
        </w:tc>
      </w:tr>
      <w:tr>
        <w:trPr>
          <w:cantSplit/>
        </w:trPr>
        <w:tc>
          <w:tcPr>
            <w:tcW w:type="dxa" w:w="2520"/>
            <w:vAlign w:val="center"/>
          </w:tcPr>
          <w:p>
            <w:r/>
            <w:r>
              <w:rPr>
                <w:rFonts w:ascii="Aptos" w:hAnsi="Aptos"/>
                <w:b w:val="0"/>
                <w:sz w:val="15"/>
              </w:rPr>
              <w:t>RIDAGEMN</w:t>
            </w:r>
          </w:p>
        </w:tc>
        <w:tc>
          <w:tcPr>
            <w:tcW w:type="dxa" w:w="2520"/>
            <w:vAlign w:val="center"/>
          </w:tcPr>
          <w:p>
            <w:r/>
            <w:r>
              <w:rPr>
                <w:rFonts w:ascii="Aptos" w:hAnsi="Aptos"/>
                <w:b w:val="0"/>
                <w:sz w:val="15"/>
              </w:rPr>
              <w:t>Conditional continuous</w:t>
            </w:r>
          </w:p>
        </w:tc>
        <w:tc>
          <w:tcPr>
            <w:tcW w:type="dxa" w:w="2520"/>
            <w:vAlign w:val="center"/>
          </w:tcPr>
          <w:p>
            <w:r/>
            <w:r>
              <w:rPr>
                <w:rFonts w:ascii="Aptos" w:hAnsi="Aptos"/>
                <w:b w:val="0"/>
                <w:sz w:val="15"/>
              </w:rPr>
              <w:t>96.84%</w:t>
            </w:r>
          </w:p>
        </w:tc>
        <w:tc>
          <w:tcPr>
            <w:tcW w:type="dxa" w:w="2520"/>
            <w:vAlign w:val="center"/>
          </w:tcPr>
          <w:p>
            <w:r/>
            <w:r>
              <w:rPr>
                <w:rFonts w:ascii="Aptos" w:hAnsi="Aptos"/>
                <w:b w:val="0"/>
                <w:sz w:val="15"/>
              </w:rPr>
              <w:t>0–24 months</w:t>
            </w:r>
          </w:p>
        </w:tc>
      </w:tr>
      <w:tr>
        <w:trPr>
          <w:cantSplit/>
        </w:trPr>
        <w:tc>
          <w:tcPr>
            <w:tcW w:type="dxa" w:w="2520"/>
            <w:vAlign w:val="center"/>
          </w:tcPr>
          <w:p>
            <w:r/>
            <w:r>
              <w:rPr>
                <w:rFonts w:ascii="Aptos" w:hAnsi="Aptos"/>
                <w:b w:val="0"/>
                <w:sz w:val="15"/>
              </w:rPr>
              <w:t>RIDRETH1</w:t>
            </w:r>
          </w:p>
        </w:tc>
        <w:tc>
          <w:tcPr>
            <w:tcW w:type="dxa" w:w="2520"/>
            <w:vAlign w:val="center"/>
          </w:tcPr>
          <w:p>
            <w:r/>
            <w:r>
              <w:rPr>
                <w:rFonts w:ascii="Aptos" w:hAnsi="Aptos"/>
                <w:b w:val="0"/>
                <w:sz w:val="15"/>
              </w:rPr>
              <w:t>Categorical</w:t>
            </w:r>
          </w:p>
        </w:tc>
        <w:tc>
          <w:tcPr>
            <w:tcW w:type="dxa" w:w="2520"/>
            <w:vAlign w:val="center"/>
          </w:tcPr>
          <w:p>
            <w:r/>
            <w:r>
              <w:rPr>
                <w:rFonts w:ascii="Aptos" w:hAnsi="Aptos"/>
                <w:b w:val="0"/>
                <w:sz w:val="15"/>
              </w:rPr>
              <w:t>0.00%</w:t>
            </w:r>
          </w:p>
        </w:tc>
        <w:tc>
          <w:tcPr>
            <w:tcW w:type="dxa" w:w="2520"/>
            <w:vAlign w:val="center"/>
          </w:tcPr>
          <w:p>
            <w:r/>
            <w:r>
              <w:rPr>
                <w:rFonts w:ascii="Aptos" w:hAnsi="Aptos"/>
                <w:b w:val="0"/>
                <w:sz w:val="15"/>
              </w:rPr>
              <w:t>Legacy race/Hispanic coding</w:t>
            </w:r>
          </w:p>
        </w:tc>
      </w:tr>
      <w:tr>
        <w:trPr>
          <w:cantSplit/>
        </w:trPr>
        <w:tc>
          <w:tcPr>
            <w:tcW w:type="dxa" w:w="2520"/>
            <w:vAlign w:val="center"/>
          </w:tcPr>
          <w:p>
            <w:r/>
            <w:r>
              <w:rPr>
                <w:rFonts w:ascii="Aptos" w:hAnsi="Aptos"/>
                <w:b w:val="0"/>
                <w:sz w:val="15"/>
              </w:rPr>
              <w:t>RIDRETH3</w:t>
            </w:r>
          </w:p>
        </w:tc>
        <w:tc>
          <w:tcPr>
            <w:tcW w:type="dxa" w:w="2520"/>
            <w:vAlign w:val="center"/>
          </w:tcPr>
          <w:p>
            <w:r/>
            <w:r>
              <w:rPr>
                <w:rFonts w:ascii="Aptos" w:hAnsi="Aptos"/>
                <w:b w:val="0"/>
                <w:sz w:val="15"/>
              </w:rPr>
              <w:t>Categorical</w:t>
            </w:r>
          </w:p>
        </w:tc>
        <w:tc>
          <w:tcPr>
            <w:tcW w:type="dxa" w:w="2520"/>
            <w:vAlign w:val="center"/>
          </w:tcPr>
          <w:p>
            <w:r/>
            <w:r>
              <w:rPr>
                <w:rFonts w:ascii="Aptos" w:hAnsi="Aptos"/>
                <w:b w:val="0"/>
                <w:sz w:val="15"/>
              </w:rPr>
              <w:t>0.00%</w:t>
            </w:r>
          </w:p>
        </w:tc>
        <w:tc>
          <w:tcPr>
            <w:tcW w:type="dxa" w:w="2520"/>
            <w:vAlign w:val="center"/>
          </w:tcPr>
          <w:p>
            <w:r/>
            <w:r>
              <w:rPr>
                <w:rFonts w:ascii="Aptos" w:hAnsi="Aptos"/>
                <w:b w:val="0"/>
                <w:sz w:val="15"/>
              </w:rPr>
              <w:t>Current race/Hispanic coding w/ NH Asian</w:t>
            </w:r>
          </w:p>
        </w:tc>
      </w:tr>
      <w:tr>
        <w:trPr>
          <w:cantSplit/>
        </w:trPr>
        <w:tc>
          <w:tcPr>
            <w:tcW w:type="dxa" w:w="2520"/>
            <w:vAlign w:val="center"/>
          </w:tcPr>
          <w:p>
            <w:r/>
            <w:r>
              <w:rPr>
                <w:rFonts w:ascii="Aptos" w:hAnsi="Aptos"/>
                <w:b w:val="0"/>
                <w:sz w:val="15"/>
              </w:rPr>
              <w:t>RIDEXMON</w:t>
            </w:r>
          </w:p>
        </w:tc>
        <w:tc>
          <w:tcPr>
            <w:tcW w:type="dxa" w:w="2520"/>
            <w:vAlign w:val="center"/>
          </w:tcPr>
          <w:p>
            <w:r/>
            <w:r>
              <w:rPr>
                <w:rFonts w:ascii="Aptos" w:hAnsi="Aptos"/>
                <w:b w:val="0"/>
                <w:sz w:val="15"/>
              </w:rPr>
              <w:t>Season/period categorical</w:t>
            </w:r>
          </w:p>
        </w:tc>
        <w:tc>
          <w:tcPr>
            <w:tcW w:type="dxa" w:w="2520"/>
            <w:vAlign w:val="center"/>
          </w:tcPr>
          <w:p>
            <w:r/>
            <w:r>
              <w:rPr>
                <w:rFonts w:ascii="Aptos" w:hAnsi="Aptos"/>
                <w:b w:val="0"/>
                <w:sz w:val="15"/>
              </w:rPr>
              <w:t>25.75%</w:t>
            </w:r>
          </w:p>
        </w:tc>
        <w:tc>
          <w:tcPr>
            <w:tcW w:type="dxa" w:w="2520"/>
            <w:vAlign w:val="center"/>
          </w:tcPr>
          <w:p>
            <w:r/>
            <w:r>
              <w:rPr>
                <w:rFonts w:ascii="Aptos" w:hAnsi="Aptos"/>
                <w:b w:val="0"/>
                <w:sz w:val="15"/>
              </w:rPr>
              <w:t>MEC exam period</w:t>
            </w:r>
          </w:p>
        </w:tc>
      </w:tr>
      <w:tr>
        <w:trPr>
          <w:cantSplit/>
        </w:trPr>
        <w:tc>
          <w:tcPr>
            <w:tcW w:type="dxa" w:w="2520"/>
            <w:vAlign w:val="center"/>
          </w:tcPr>
          <w:p>
            <w:r/>
            <w:r>
              <w:rPr>
                <w:rFonts w:ascii="Aptos" w:hAnsi="Aptos"/>
                <w:b w:val="0"/>
                <w:sz w:val="15"/>
              </w:rPr>
              <w:t>RIDEXAGM</w:t>
            </w:r>
          </w:p>
        </w:tc>
        <w:tc>
          <w:tcPr>
            <w:tcW w:type="dxa" w:w="2520"/>
            <w:vAlign w:val="center"/>
          </w:tcPr>
          <w:p>
            <w:r/>
            <w:r>
              <w:rPr>
                <w:rFonts w:ascii="Aptos" w:hAnsi="Aptos"/>
                <w:b w:val="0"/>
                <w:sz w:val="15"/>
              </w:rPr>
              <w:t>Conditional continuous</w:t>
            </w:r>
          </w:p>
        </w:tc>
        <w:tc>
          <w:tcPr>
            <w:tcW w:type="dxa" w:w="2520"/>
            <w:vAlign w:val="center"/>
          </w:tcPr>
          <w:p>
            <w:r/>
            <w:r>
              <w:rPr>
                <w:rFonts w:ascii="Aptos" w:hAnsi="Aptos"/>
                <w:b w:val="0"/>
                <w:sz w:val="15"/>
              </w:rPr>
              <w:t>76.64%</w:t>
            </w:r>
          </w:p>
        </w:tc>
        <w:tc>
          <w:tcPr>
            <w:tcW w:type="dxa" w:w="2520"/>
            <w:vAlign w:val="center"/>
          </w:tcPr>
          <w:p>
            <w:r/>
            <w:r>
              <w:rPr>
                <w:rFonts w:ascii="Aptos" w:hAnsi="Aptos"/>
                <w:b w:val="0"/>
                <w:sz w:val="15"/>
              </w:rPr>
              <w:t>Age in months &lt;=19 at exam</w:t>
            </w:r>
          </w:p>
        </w:tc>
      </w:tr>
      <w:tr>
        <w:trPr>
          <w:cantSplit/>
        </w:trPr>
        <w:tc>
          <w:tcPr>
            <w:tcW w:type="dxa" w:w="2520"/>
            <w:vAlign w:val="center"/>
          </w:tcPr>
          <w:p>
            <w:r/>
            <w:r>
              <w:rPr>
                <w:rFonts w:ascii="Aptos" w:hAnsi="Aptos"/>
                <w:b w:val="0"/>
                <w:sz w:val="15"/>
              </w:rPr>
              <w:t>DMQMILIZ</w:t>
            </w:r>
          </w:p>
        </w:tc>
        <w:tc>
          <w:tcPr>
            <w:tcW w:type="dxa" w:w="2520"/>
            <w:vAlign w:val="center"/>
          </w:tcPr>
          <w:p>
            <w:r/>
            <w:r>
              <w:rPr>
                <w:rFonts w:ascii="Aptos" w:hAnsi="Aptos"/>
                <w:b w:val="0"/>
                <w:sz w:val="15"/>
              </w:rPr>
              <w:t>Categorical/status</w:t>
            </w:r>
          </w:p>
        </w:tc>
        <w:tc>
          <w:tcPr>
            <w:tcW w:type="dxa" w:w="2520"/>
            <w:vAlign w:val="center"/>
          </w:tcPr>
          <w:p>
            <w:r/>
            <w:r>
              <w:rPr>
                <w:rFonts w:ascii="Aptos" w:hAnsi="Aptos"/>
                <w:b w:val="0"/>
                <w:sz w:val="15"/>
              </w:rPr>
              <w:t>30.44%</w:t>
            </w:r>
          </w:p>
        </w:tc>
        <w:tc>
          <w:tcPr>
            <w:tcW w:type="dxa" w:w="2520"/>
            <w:vAlign w:val="center"/>
          </w:tcPr>
          <w:p>
            <w:r/>
            <w:r>
              <w:rPr>
                <w:rFonts w:ascii="Aptos" w:hAnsi="Aptos"/>
                <w:b w:val="0"/>
                <w:sz w:val="15"/>
              </w:rPr>
              <w:t>Military service question</w:t>
            </w:r>
          </w:p>
        </w:tc>
      </w:tr>
      <w:tr>
        <w:trPr>
          <w:cantSplit/>
        </w:trPr>
        <w:tc>
          <w:tcPr>
            <w:tcW w:type="dxa" w:w="2520"/>
            <w:vAlign w:val="center"/>
          </w:tcPr>
          <w:p>
            <w:r/>
            <w:r>
              <w:rPr>
                <w:rFonts w:ascii="Aptos" w:hAnsi="Aptos"/>
                <w:b w:val="0"/>
                <w:sz w:val="15"/>
              </w:rPr>
              <w:t>DMDBORN4</w:t>
            </w:r>
          </w:p>
        </w:tc>
        <w:tc>
          <w:tcPr>
            <w:tcW w:type="dxa" w:w="2520"/>
            <w:vAlign w:val="center"/>
          </w:tcPr>
          <w:p>
            <w:r/>
            <w:r>
              <w:rPr>
                <w:rFonts w:ascii="Aptos" w:hAnsi="Aptos"/>
                <w:b w:val="0"/>
                <w:sz w:val="15"/>
              </w:rPr>
              <w:t>Categorical</w:t>
            </w:r>
          </w:p>
        </w:tc>
        <w:tc>
          <w:tcPr>
            <w:tcW w:type="dxa" w:w="2520"/>
            <w:vAlign w:val="center"/>
          </w:tcPr>
          <w:p>
            <w:r/>
            <w:r>
              <w:rPr>
                <w:rFonts w:ascii="Aptos" w:hAnsi="Aptos"/>
                <w:b w:val="0"/>
                <w:sz w:val="15"/>
              </w:rPr>
              <w:t>0.16%</w:t>
            </w:r>
          </w:p>
        </w:tc>
        <w:tc>
          <w:tcPr>
            <w:tcW w:type="dxa" w:w="2520"/>
            <w:vAlign w:val="center"/>
          </w:tcPr>
          <w:p>
            <w:r/>
            <w:r>
              <w:rPr>
                <w:rFonts w:ascii="Aptos" w:hAnsi="Aptos"/>
                <w:b w:val="0"/>
                <w:sz w:val="15"/>
              </w:rPr>
              <w:t>US vs other birth category</w:t>
            </w:r>
          </w:p>
        </w:tc>
      </w:tr>
      <w:tr>
        <w:trPr>
          <w:cantSplit/>
        </w:trPr>
        <w:tc>
          <w:tcPr>
            <w:tcW w:type="dxa" w:w="2520"/>
            <w:vAlign w:val="center"/>
          </w:tcPr>
          <w:p>
            <w:r/>
            <w:r>
              <w:rPr>
                <w:rFonts w:ascii="Aptos" w:hAnsi="Aptos"/>
                <w:b w:val="0"/>
                <w:sz w:val="15"/>
              </w:rPr>
              <w:t>DMDYRUSR</w:t>
            </w:r>
          </w:p>
        </w:tc>
        <w:tc>
          <w:tcPr>
            <w:tcW w:type="dxa" w:w="2520"/>
            <w:vAlign w:val="center"/>
          </w:tcPr>
          <w:p>
            <w:r/>
            <w:r>
              <w:rPr>
                <w:rFonts w:ascii="Aptos" w:hAnsi="Aptos"/>
                <w:b w:val="0"/>
                <w:sz w:val="15"/>
              </w:rPr>
              <w:t>Categorical/status</w:t>
            </w:r>
          </w:p>
        </w:tc>
        <w:tc>
          <w:tcPr>
            <w:tcW w:type="dxa" w:w="2520"/>
            <w:vAlign w:val="center"/>
          </w:tcPr>
          <w:p>
            <w:r/>
            <w:r>
              <w:rPr>
                <w:rFonts w:ascii="Aptos" w:hAnsi="Aptos"/>
                <w:b w:val="0"/>
                <w:sz w:val="15"/>
              </w:rPr>
              <w:t>84.29%</w:t>
            </w:r>
          </w:p>
        </w:tc>
        <w:tc>
          <w:tcPr>
            <w:tcW w:type="dxa" w:w="2520"/>
            <w:vAlign w:val="center"/>
          </w:tcPr>
          <w:p>
            <w:r/>
            <w:r>
              <w:rPr>
                <w:rFonts w:ascii="Aptos" w:hAnsi="Aptos"/>
                <w:b w:val="0"/>
                <w:sz w:val="15"/>
              </w:rPr>
              <w:t>Time in US; foreign-born context</w:t>
            </w:r>
          </w:p>
        </w:tc>
      </w:tr>
      <w:tr>
        <w:trPr>
          <w:cantSplit/>
        </w:trPr>
        <w:tc>
          <w:tcPr>
            <w:tcW w:type="dxa" w:w="2520"/>
            <w:vAlign w:val="center"/>
          </w:tcPr>
          <w:p>
            <w:r/>
            <w:r>
              <w:rPr>
                <w:rFonts w:ascii="Aptos" w:hAnsi="Aptos"/>
                <w:b w:val="0"/>
                <w:sz w:val="15"/>
              </w:rPr>
              <w:t>DMDEDUC2</w:t>
            </w:r>
          </w:p>
        </w:tc>
        <w:tc>
          <w:tcPr>
            <w:tcW w:type="dxa" w:w="2520"/>
            <w:vAlign w:val="center"/>
          </w:tcPr>
          <w:p>
            <w:r/>
            <w:r>
              <w:rPr>
                <w:rFonts w:ascii="Aptos" w:hAnsi="Aptos"/>
                <w:b w:val="0"/>
                <w:sz w:val="15"/>
              </w:rPr>
              <w:t>Categorical/status</w:t>
            </w:r>
          </w:p>
        </w:tc>
        <w:tc>
          <w:tcPr>
            <w:tcW w:type="dxa" w:w="2520"/>
            <w:vAlign w:val="center"/>
          </w:tcPr>
          <w:p>
            <w:r/>
            <w:r>
              <w:rPr>
                <w:rFonts w:ascii="Aptos" w:hAnsi="Aptos"/>
                <w:b w:val="0"/>
                <w:sz w:val="15"/>
              </w:rPr>
              <w:t>34.69%</w:t>
            </w:r>
          </w:p>
        </w:tc>
        <w:tc>
          <w:tcPr>
            <w:tcW w:type="dxa" w:w="2520"/>
            <w:vAlign w:val="center"/>
          </w:tcPr>
          <w:p>
            <w:r/>
            <w:r>
              <w:rPr>
                <w:rFonts w:ascii="Aptos" w:hAnsi="Aptos"/>
                <w:b w:val="0"/>
                <w:sz w:val="15"/>
              </w:rPr>
              <w:t>Education, adults 20+</w:t>
            </w:r>
          </w:p>
        </w:tc>
      </w:tr>
      <w:tr>
        <w:trPr>
          <w:cantSplit/>
        </w:trPr>
        <w:tc>
          <w:tcPr>
            <w:tcW w:type="dxa" w:w="2520"/>
            <w:vAlign w:val="center"/>
          </w:tcPr>
          <w:p>
            <w:r/>
            <w:r>
              <w:rPr>
                <w:rFonts w:ascii="Aptos" w:hAnsi="Aptos"/>
                <w:b w:val="0"/>
                <w:sz w:val="15"/>
              </w:rPr>
              <w:t>DMDMARTZ</w:t>
            </w:r>
          </w:p>
        </w:tc>
        <w:tc>
          <w:tcPr>
            <w:tcW w:type="dxa" w:w="2520"/>
            <w:vAlign w:val="center"/>
          </w:tcPr>
          <w:p>
            <w:r/>
            <w:r>
              <w:rPr>
                <w:rFonts w:ascii="Aptos" w:hAnsi="Aptos"/>
                <w:b w:val="0"/>
                <w:sz w:val="15"/>
              </w:rPr>
              <w:t>Categorical/status</w:t>
            </w:r>
          </w:p>
        </w:tc>
        <w:tc>
          <w:tcPr>
            <w:tcW w:type="dxa" w:w="2520"/>
            <w:vAlign w:val="center"/>
          </w:tcPr>
          <w:p>
            <w:r/>
            <w:r>
              <w:rPr>
                <w:rFonts w:ascii="Aptos" w:hAnsi="Aptos"/>
                <w:b w:val="0"/>
                <w:sz w:val="15"/>
              </w:rPr>
              <w:t>34.70%</w:t>
            </w:r>
          </w:p>
        </w:tc>
        <w:tc>
          <w:tcPr>
            <w:tcW w:type="dxa" w:w="2520"/>
            <w:vAlign w:val="center"/>
          </w:tcPr>
          <w:p>
            <w:r/>
            <w:r>
              <w:rPr>
                <w:rFonts w:ascii="Aptos" w:hAnsi="Aptos"/>
                <w:b w:val="0"/>
                <w:sz w:val="15"/>
              </w:rPr>
              <w:t>Marital status, adults 20+</w:t>
            </w:r>
          </w:p>
        </w:tc>
      </w:tr>
      <w:tr>
        <w:trPr>
          <w:cantSplit/>
        </w:trPr>
        <w:tc>
          <w:tcPr>
            <w:tcW w:type="dxa" w:w="2520"/>
            <w:vAlign w:val="center"/>
          </w:tcPr>
          <w:p>
            <w:r/>
            <w:r>
              <w:rPr>
                <w:rFonts w:ascii="Aptos" w:hAnsi="Aptos"/>
                <w:b w:val="0"/>
                <w:sz w:val="15"/>
              </w:rPr>
              <w:t>RIDEXPRG</w:t>
            </w:r>
          </w:p>
        </w:tc>
        <w:tc>
          <w:tcPr>
            <w:tcW w:type="dxa" w:w="2520"/>
            <w:vAlign w:val="center"/>
          </w:tcPr>
          <w:p>
            <w:r/>
            <w:r>
              <w:rPr>
                <w:rFonts w:ascii="Aptos" w:hAnsi="Aptos"/>
                <w:b w:val="0"/>
                <w:sz w:val="15"/>
              </w:rPr>
              <w:t>Categorical/status</w:t>
            </w:r>
          </w:p>
        </w:tc>
        <w:tc>
          <w:tcPr>
            <w:tcW w:type="dxa" w:w="2520"/>
            <w:vAlign w:val="center"/>
          </w:tcPr>
          <w:p>
            <w:r/>
            <w:r>
              <w:rPr>
                <w:rFonts w:ascii="Aptos" w:hAnsi="Aptos"/>
                <w:b w:val="0"/>
                <w:sz w:val="15"/>
              </w:rPr>
              <w:t>87.40%</w:t>
            </w:r>
          </w:p>
        </w:tc>
        <w:tc>
          <w:tcPr>
            <w:tcW w:type="dxa" w:w="2520"/>
            <w:vAlign w:val="center"/>
          </w:tcPr>
          <w:p>
            <w:r/>
            <w:r>
              <w:rPr>
                <w:rFonts w:ascii="Aptos" w:hAnsi="Aptos"/>
                <w:b w:val="0"/>
                <w:sz w:val="15"/>
              </w:rPr>
              <w:t>Pregnancy, females 20–44</w:t>
            </w:r>
          </w:p>
        </w:tc>
      </w:tr>
      <w:tr>
        <w:trPr>
          <w:cantSplit/>
        </w:trPr>
        <w:tc>
          <w:tcPr>
            <w:tcW w:type="dxa" w:w="2520"/>
            <w:vAlign w:val="center"/>
          </w:tcPr>
          <w:p>
            <w:r/>
            <w:r>
              <w:rPr>
                <w:rFonts w:ascii="Aptos" w:hAnsi="Aptos"/>
                <w:b w:val="0"/>
                <w:sz w:val="15"/>
              </w:rPr>
              <w:t>DMDHHSIZ</w:t>
            </w:r>
          </w:p>
        </w:tc>
        <w:tc>
          <w:tcPr>
            <w:tcW w:type="dxa" w:w="2520"/>
            <w:vAlign w:val="center"/>
          </w:tcPr>
          <w:p>
            <w:r/>
            <w:r>
              <w:rPr>
                <w:rFonts w:ascii="Aptos" w:hAnsi="Aptos"/>
                <w:b w:val="0"/>
                <w:sz w:val="15"/>
              </w:rPr>
              <w:t>Ordinal/count</w:t>
            </w:r>
          </w:p>
        </w:tc>
        <w:tc>
          <w:tcPr>
            <w:tcW w:type="dxa" w:w="2520"/>
            <w:vAlign w:val="center"/>
          </w:tcPr>
          <w:p>
            <w:r/>
            <w:r>
              <w:rPr>
                <w:rFonts w:ascii="Aptos" w:hAnsi="Aptos"/>
                <w:b w:val="0"/>
                <w:sz w:val="15"/>
              </w:rPr>
              <w:t>0.00%</w:t>
            </w:r>
          </w:p>
        </w:tc>
        <w:tc>
          <w:tcPr>
            <w:tcW w:type="dxa" w:w="2520"/>
            <w:vAlign w:val="center"/>
          </w:tcPr>
          <w:p>
            <w:r/>
            <w:r>
              <w:rPr>
                <w:rFonts w:ascii="Aptos" w:hAnsi="Aptos"/>
                <w:b w:val="0"/>
                <w:sz w:val="15"/>
              </w:rPr>
              <w:t>Household size</w:t>
            </w:r>
          </w:p>
        </w:tc>
      </w:tr>
      <w:tr>
        <w:trPr>
          <w:cantSplit/>
        </w:trPr>
        <w:tc>
          <w:tcPr>
            <w:tcW w:type="dxa" w:w="2520"/>
            <w:vAlign w:val="center"/>
          </w:tcPr>
          <w:p>
            <w:r/>
            <w:r>
              <w:rPr>
                <w:rFonts w:ascii="Aptos" w:hAnsi="Aptos"/>
                <w:b w:val="0"/>
                <w:sz w:val="15"/>
              </w:rPr>
              <w:t>DMDHRGND</w:t>
            </w:r>
          </w:p>
        </w:tc>
        <w:tc>
          <w:tcPr>
            <w:tcW w:type="dxa" w:w="2520"/>
            <w:vAlign w:val="center"/>
          </w:tcPr>
          <w:p>
            <w:r/>
            <w:r>
              <w:rPr>
                <w:rFonts w:ascii="Aptos" w:hAnsi="Aptos"/>
                <w:b w:val="0"/>
                <w:sz w:val="15"/>
              </w:rPr>
              <w:t>Pediatric contextual categorical</w:t>
            </w:r>
          </w:p>
        </w:tc>
        <w:tc>
          <w:tcPr>
            <w:tcW w:type="dxa" w:w="2520"/>
            <w:vAlign w:val="center"/>
          </w:tcPr>
          <w:p>
            <w:r/>
            <w:r>
              <w:rPr>
                <w:rFonts w:ascii="Aptos" w:hAnsi="Aptos"/>
                <w:b w:val="0"/>
                <w:sz w:val="15"/>
              </w:rPr>
              <w:t>65.52%</w:t>
            </w:r>
          </w:p>
        </w:tc>
        <w:tc>
          <w:tcPr>
            <w:tcW w:type="dxa" w:w="2520"/>
            <w:vAlign w:val="center"/>
          </w:tcPr>
          <w:p>
            <w:r/>
            <w:r>
              <w:rPr>
                <w:rFonts w:ascii="Aptos" w:hAnsi="Aptos"/>
                <w:b w:val="0"/>
                <w:sz w:val="15"/>
              </w:rPr>
              <w:t>Household reference person gender for 0–19</w:t>
            </w:r>
          </w:p>
        </w:tc>
      </w:tr>
      <w:tr>
        <w:trPr>
          <w:cantSplit/>
        </w:trPr>
        <w:tc>
          <w:tcPr>
            <w:tcW w:type="dxa" w:w="2520"/>
            <w:vAlign w:val="center"/>
          </w:tcPr>
          <w:p>
            <w:r/>
            <w:r>
              <w:rPr>
                <w:rFonts w:ascii="Aptos" w:hAnsi="Aptos"/>
                <w:b w:val="0"/>
                <w:sz w:val="15"/>
              </w:rPr>
              <w:t>DMDHRAGZ</w:t>
            </w:r>
          </w:p>
        </w:tc>
        <w:tc>
          <w:tcPr>
            <w:tcW w:type="dxa" w:w="2520"/>
            <w:vAlign w:val="center"/>
          </w:tcPr>
          <w:p>
            <w:r/>
            <w:r>
              <w:rPr>
                <w:rFonts w:ascii="Aptos" w:hAnsi="Aptos"/>
                <w:b w:val="0"/>
                <w:sz w:val="15"/>
              </w:rPr>
              <w:t>Pediatric contextual categorical</w:t>
            </w:r>
          </w:p>
        </w:tc>
        <w:tc>
          <w:tcPr>
            <w:tcW w:type="dxa" w:w="2520"/>
            <w:vAlign w:val="center"/>
          </w:tcPr>
          <w:p>
            <w:r/>
            <w:r>
              <w:rPr>
                <w:rFonts w:ascii="Aptos" w:hAnsi="Aptos"/>
                <w:b w:val="0"/>
                <w:sz w:val="15"/>
              </w:rPr>
              <w:t>65.44%</w:t>
            </w:r>
          </w:p>
        </w:tc>
        <w:tc>
          <w:tcPr>
            <w:tcW w:type="dxa" w:w="2520"/>
            <w:vAlign w:val="center"/>
          </w:tcPr>
          <w:p>
            <w:r/>
            <w:r>
              <w:rPr>
                <w:rFonts w:ascii="Aptos" w:hAnsi="Aptos"/>
                <w:b w:val="0"/>
                <w:sz w:val="15"/>
              </w:rPr>
              <w:t>Household reference person age for 0–19</w:t>
            </w:r>
          </w:p>
        </w:tc>
      </w:tr>
      <w:tr>
        <w:trPr>
          <w:cantSplit/>
        </w:trPr>
        <w:tc>
          <w:tcPr>
            <w:tcW w:type="dxa" w:w="2520"/>
            <w:vAlign w:val="center"/>
          </w:tcPr>
          <w:p>
            <w:r/>
            <w:r>
              <w:rPr>
                <w:rFonts w:ascii="Aptos" w:hAnsi="Aptos"/>
                <w:b w:val="0"/>
                <w:sz w:val="15"/>
              </w:rPr>
              <w:t>DMDHREDZ</w:t>
            </w:r>
          </w:p>
        </w:tc>
        <w:tc>
          <w:tcPr>
            <w:tcW w:type="dxa" w:w="2520"/>
            <w:vAlign w:val="center"/>
          </w:tcPr>
          <w:p>
            <w:r/>
            <w:r>
              <w:rPr>
                <w:rFonts w:ascii="Aptos" w:hAnsi="Aptos"/>
                <w:b w:val="0"/>
                <w:sz w:val="15"/>
              </w:rPr>
              <w:t>Pediatric contextual categorical</w:t>
            </w:r>
          </w:p>
        </w:tc>
        <w:tc>
          <w:tcPr>
            <w:tcW w:type="dxa" w:w="2520"/>
            <w:vAlign w:val="center"/>
          </w:tcPr>
          <w:p>
            <w:r/>
            <w:r>
              <w:rPr>
                <w:rFonts w:ascii="Aptos" w:hAnsi="Aptos"/>
                <w:b w:val="0"/>
                <w:sz w:val="15"/>
              </w:rPr>
              <w:t>68.61%</w:t>
            </w:r>
          </w:p>
        </w:tc>
        <w:tc>
          <w:tcPr>
            <w:tcW w:type="dxa" w:w="2520"/>
            <w:vAlign w:val="center"/>
          </w:tcPr>
          <w:p>
            <w:r/>
            <w:r>
              <w:rPr>
                <w:rFonts w:ascii="Aptos" w:hAnsi="Aptos"/>
                <w:b w:val="0"/>
                <w:sz w:val="15"/>
              </w:rPr>
              <w:t>Household reference person education for 0–19</w:t>
            </w:r>
          </w:p>
        </w:tc>
      </w:tr>
      <w:tr>
        <w:trPr>
          <w:cantSplit/>
        </w:trPr>
        <w:tc>
          <w:tcPr>
            <w:tcW w:type="dxa" w:w="2520"/>
            <w:vAlign w:val="center"/>
          </w:tcPr>
          <w:p>
            <w:r/>
            <w:r>
              <w:rPr>
                <w:rFonts w:ascii="Aptos" w:hAnsi="Aptos"/>
                <w:b w:val="0"/>
                <w:sz w:val="15"/>
              </w:rPr>
              <w:t>DMDHRMAZ</w:t>
            </w:r>
          </w:p>
        </w:tc>
        <w:tc>
          <w:tcPr>
            <w:tcW w:type="dxa" w:w="2520"/>
            <w:vAlign w:val="center"/>
          </w:tcPr>
          <w:p>
            <w:r/>
            <w:r>
              <w:rPr>
                <w:rFonts w:ascii="Aptos" w:hAnsi="Aptos"/>
                <w:b w:val="0"/>
                <w:sz w:val="15"/>
              </w:rPr>
              <w:t>Pediatric contextual categorical</w:t>
            </w:r>
          </w:p>
        </w:tc>
        <w:tc>
          <w:tcPr>
            <w:tcW w:type="dxa" w:w="2520"/>
            <w:vAlign w:val="center"/>
          </w:tcPr>
          <w:p>
            <w:r/>
            <w:r>
              <w:rPr>
                <w:rFonts w:ascii="Aptos" w:hAnsi="Aptos"/>
                <w:b w:val="0"/>
                <w:sz w:val="15"/>
              </w:rPr>
              <w:t>66.31%</w:t>
            </w:r>
          </w:p>
        </w:tc>
        <w:tc>
          <w:tcPr>
            <w:tcW w:type="dxa" w:w="2520"/>
            <w:vAlign w:val="center"/>
          </w:tcPr>
          <w:p>
            <w:r/>
            <w:r>
              <w:rPr>
                <w:rFonts w:ascii="Aptos" w:hAnsi="Aptos"/>
                <w:b w:val="0"/>
                <w:sz w:val="15"/>
              </w:rPr>
              <w:t>Household reference person marital status for 0–19</w:t>
            </w:r>
          </w:p>
        </w:tc>
      </w:tr>
      <w:tr>
        <w:trPr>
          <w:cantSplit/>
        </w:trPr>
        <w:tc>
          <w:tcPr>
            <w:tcW w:type="dxa" w:w="2520"/>
            <w:vAlign w:val="center"/>
          </w:tcPr>
          <w:p>
            <w:r/>
            <w:r>
              <w:rPr>
                <w:rFonts w:ascii="Aptos" w:hAnsi="Aptos"/>
                <w:b w:val="0"/>
                <w:sz w:val="15"/>
              </w:rPr>
              <w:t>DMDHSEDZ</w:t>
            </w:r>
          </w:p>
        </w:tc>
        <w:tc>
          <w:tcPr>
            <w:tcW w:type="dxa" w:w="2520"/>
            <w:vAlign w:val="center"/>
          </w:tcPr>
          <w:p>
            <w:r/>
            <w:r>
              <w:rPr>
                <w:rFonts w:ascii="Aptos" w:hAnsi="Aptos"/>
                <w:b w:val="0"/>
                <w:sz w:val="15"/>
              </w:rPr>
              <w:t>Pediatric contextual categorical</w:t>
            </w:r>
          </w:p>
        </w:tc>
        <w:tc>
          <w:tcPr>
            <w:tcW w:type="dxa" w:w="2520"/>
            <w:vAlign w:val="center"/>
          </w:tcPr>
          <w:p>
            <w:r/>
            <w:r>
              <w:rPr>
                <w:rFonts w:ascii="Aptos" w:hAnsi="Aptos"/>
                <w:b w:val="0"/>
                <w:sz w:val="15"/>
              </w:rPr>
              <w:t>82.18%</w:t>
            </w:r>
          </w:p>
        </w:tc>
        <w:tc>
          <w:tcPr>
            <w:tcW w:type="dxa" w:w="2520"/>
            <w:vAlign w:val="center"/>
          </w:tcPr>
          <w:p>
            <w:r/>
            <w:r>
              <w:rPr>
                <w:rFonts w:ascii="Aptos" w:hAnsi="Aptos"/>
                <w:b w:val="0"/>
                <w:sz w:val="15"/>
              </w:rPr>
              <w:t>Reference person's spouse education for 0–19</w:t>
            </w:r>
          </w:p>
        </w:tc>
      </w:tr>
      <w:tr>
        <w:trPr>
          <w:cantSplit/>
        </w:trPr>
        <w:tc>
          <w:tcPr>
            <w:tcW w:type="dxa" w:w="2520"/>
            <w:vAlign w:val="center"/>
          </w:tcPr>
          <w:p>
            <w:r/>
            <w:r>
              <w:rPr>
                <w:rFonts w:ascii="Aptos" w:hAnsi="Aptos"/>
                <w:b w:val="0"/>
                <w:sz w:val="15"/>
              </w:rPr>
              <w:t>WTINT2YR</w:t>
            </w:r>
          </w:p>
        </w:tc>
        <w:tc>
          <w:tcPr>
            <w:tcW w:type="dxa" w:w="2520"/>
            <w:vAlign w:val="center"/>
          </w:tcPr>
          <w:p>
            <w:r/>
            <w:r>
              <w:rPr>
                <w:rFonts w:ascii="Aptos" w:hAnsi="Aptos"/>
                <w:b w:val="0"/>
                <w:sz w:val="15"/>
              </w:rPr>
              <w:t>Survey design weight</w:t>
            </w:r>
          </w:p>
        </w:tc>
        <w:tc>
          <w:tcPr>
            <w:tcW w:type="dxa" w:w="2520"/>
            <w:vAlign w:val="center"/>
          </w:tcPr>
          <w:p>
            <w:r/>
            <w:r>
              <w:rPr>
                <w:rFonts w:ascii="Aptos" w:hAnsi="Aptos"/>
                <w:b w:val="0"/>
                <w:sz w:val="15"/>
              </w:rPr>
              <w:t>0.00%</w:t>
            </w:r>
          </w:p>
        </w:tc>
        <w:tc>
          <w:tcPr>
            <w:tcW w:type="dxa" w:w="2520"/>
            <w:vAlign w:val="center"/>
          </w:tcPr>
          <w:p>
            <w:r/>
            <w:r>
              <w:rPr>
                <w:rFonts w:ascii="Aptos" w:hAnsi="Aptos"/>
                <w:b w:val="0"/>
                <w:sz w:val="15"/>
              </w:rPr>
              <w:t>Interview weight</w:t>
            </w:r>
          </w:p>
        </w:tc>
      </w:tr>
      <w:tr>
        <w:trPr>
          <w:cantSplit/>
        </w:trPr>
        <w:tc>
          <w:tcPr>
            <w:tcW w:type="dxa" w:w="2520"/>
            <w:vAlign w:val="center"/>
          </w:tcPr>
          <w:p>
            <w:r/>
            <w:r>
              <w:rPr>
                <w:rFonts w:ascii="Aptos" w:hAnsi="Aptos"/>
                <w:b w:val="0"/>
                <w:sz w:val="15"/>
              </w:rPr>
              <w:t>WTMEC2YR</w:t>
            </w:r>
          </w:p>
        </w:tc>
        <w:tc>
          <w:tcPr>
            <w:tcW w:type="dxa" w:w="2520"/>
            <w:vAlign w:val="center"/>
          </w:tcPr>
          <w:p>
            <w:r/>
            <w:r>
              <w:rPr>
                <w:rFonts w:ascii="Aptos" w:hAnsi="Aptos"/>
                <w:b w:val="0"/>
                <w:sz w:val="15"/>
              </w:rPr>
              <w:t>Survey design weight/status</w:t>
            </w:r>
          </w:p>
        </w:tc>
        <w:tc>
          <w:tcPr>
            <w:tcW w:type="dxa" w:w="2520"/>
            <w:vAlign w:val="center"/>
          </w:tcPr>
          <w:p>
            <w:r/>
            <w:r>
              <w:rPr>
                <w:rFonts w:ascii="Aptos" w:hAnsi="Aptos"/>
                <w:b w:val="0"/>
                <w:sz w:val="15"/>
              </w:rPr>
              <w:t>0.00%</w:t>
            </w:r>
          </w:p>
        </w:tc>
        <w:tc>
          <w:tcPr>
            <w:tcW w:type="dxa" w:w="2520"/>
            <w:vAlign w:val="center"/>
          </w:tcPr>
          <w:p>
            <w:r/>
            <w:r>
              <w:rPr>
                <w:rFonts w:ascii="Aptos" w:hAnsi="Aptos"/>
                <w:b w:val="0"/>
                <w:sz w:val="15"/>
              </w:rPr>
              <w:t>MEC weight; 0=not examined</w:t>
            </w:r>
          </w:p>
        </w:tc>
      </w:tr>
      <w:tr>
        <w:trPr>
          <w:cantSplit/>
        </w:trPr>
        <w:tc>
          <w:tcPr>
            <w:tcW w:type="dxa" w:w="2520"/>
            <w:vAlign w:val="center"/>
          </w:tcPr>
          <w:p>
            <w:r/>
            <w:r>
              <w:rPr>
                <w:rFonts w:ascii="Aptos" w:hAnsi="Aptos"/>
                <w:b w:val="0"/>
                <w:sz w:val="15"/>
              </w:rPr>
              <w:t>SDMVSTRA</w:t>
            </w:r>
          </w:p>
        </w:tc>
        <w:tc>
          <w:tcPr>
            <w:tcW w:type="dxa" w:w="2520"/>
            <w:vAlign w:val="center"/>
          </w:tcPr>
          <w:p>
            <w:r/>
            <w:r>
              <w:rPr>
                <w:rFonts w:ascii="Aptos" w:hAnsi="Aptos"/>
                <w:b w:val="0"/>
                <w:sz w:val="15"/>
              </w:rPr>
              <w:t>Survey design</w:t>
            </w:r>
          </w:p>
        </w:tc>
        <w:tc>
          <w:tcPr>
            <w:tcW w:type="dxa" w:w="2520"/>
            <w:vAlign w:val="center"/>
          </w:tcPr>
          <w:p>
            <w:r/>
            <w:r>
              <w:rPr>
                <w:rFonts w:ascii="Aptos" w:hAnsi="Aptos"/>
                <w:b w:val="0"/>
                <w:sz w:val="15"/>
              </w:rPr>
              <w:t>0.00%</w:t>
            </w:r>
          </w:p>
        </w:tc>
        <w:tc>
          <w:tcPr>
            <w:tcW w:type="dxa" w:w="2520"/>
            <w:vAlign w:val="center"/>
          </w:tcPr>
          <w:p>
            <w:r/>
            <w:r>
              <w:rPr>
                <w:rFonts w:ascii="Aptos" w:hAnsi="Aptos"/>
                <w:b w:val="0"/>
                <w:sz w:val="15"/>
              </w:rPr>
              <w:t>Masked variance pseudo-stratum</w:t>
            </w:r>
          </w:p>
        </w:tc>
      </w:tr>
      <w:tr>
        <w:trPr>
          <w:cantSplit/>
        </w:trPr>
        <w:tc>
          <w:tcPr>
            <w:tcW w:type="dxa" w:w="2520"/>
            <w:vAlign w:val="center"/>
          </w:tcPr>
          <w:p>
            <w:r/>
            <w:r>
              <w:rPr>
                <w:rFonts w:ascii="Aptos" w:hAnsi="Aptos"/>
                <w:b w:val="0"/>
                <w:sz w:val="15"/>
              </w:rPr>
              <w:t>SDMVPSU</w:t>
            </w:r>
          </w:p>
        </w:tc>
        <w:tc>
          <w:tcPr>
            <w:tcW w:type="dxa" w:w="2520"/>
            <w:vAlign w:val="center"/>
          </w:tcPr>
          <w:p>
            <w:r/>
            <w:r>
              <w:rPr>
                <w:rFonts w:ascii="Aptos" w:hAnsi="Aptos"/>
                <w:b w:val="0"/>
                <w:sz w:val="15"/>
              </w:rPr>
              <w:t>Survey design</w:t>
            </w:r>
          </w:p>
        </w:tc>
        <w:tc>
          <w:tcPr>
            <w:tcW w:type="dxa" w:w="2520"/>
            <w:vAlign w:val="center"/>
          </w:tcPr>
          <w:p>
            <w:r/>
            <w:r>
              <w:rPr>
                <w:rFonts w:ascii="Aptos" w:hAnsi="Aptos"/>
                <w:b w:val="0"/>
                <w:sz w:val="15"/>
              </w:rPr>
              <w:t>0.00%</w:t>
            </w:r>
          </w:p>
        </w:tc>
        <w:tc>
          <w:tcPr>
            <w:tcW w:type="dxa" w:w="2520"/>
            <w:vAlign w:val="center"/>
          </w:tcPr>
          <w:p>
            <w:r/>
            <w:r>
              <w:rPr>
                <w:rFonts w:ascii="Aptos" w:hAnsi="Aptos"/>
                <w:b w:val="0"/>
                <w:sz w:val="15"/>
              </w:rPr>
              <w:t>Masked variance pseudo-PSU</w:t>
            </w:r>
          </w:p>
        </w:tc>
      </w:tr>
      <w:tr>
        <w:trPr>
          <w:cantSplit/>
        </w:trPr>
        <w:tc>
          <w:tcPr>
            <w:tcW w:type="dxa" w:w="2520"/>
            <w:vAlign w:val="center"/>
          </w:tcPr>
          <w:p>
            <w:r/>
            <w:r>
              <w:rPr>
                <w:rFonts w:ascii="Aptos" w:hAnsi="Aptos"/>
                <w:b w:val="0"/>
                <w:sz w:val="15"/>
              </w:rPr>
              <w:t>INDFMPIR</w:t>
            </w:r>
          </w:p>
        </w:tc>
        <w:tc>
          <w:tcPr>
            <w:tcW w:type="dxa" w:w="2520"/>
            <w:vAlign w:val="center"/>
          </w:tcPr>
          <w:p>
            <w:r/>
            <w:r>
              <w:rPr>
                <w:rFonts w:ascii="Aptos" w:hAnsi="Aptos"/>
                <w:b w:val="0"/>
                <w:sz w:val="15"/>
              </w:rPr>
              <w:t>Censored continuous</w:t>
            </w:r>
          </w:p>
        </w:tc>
        <w:tc>
          <w:tcPr>
            <w:tcW w:type="dxa" w:w="2520"/>
            <w:vAlign w:val="center"/>
          </w:tcPr>
          <w:p>
            <w:r/>
            <w:r>
              <w:rPr>
                <w:rFonts w:ascii="Aptos" w:hAnsi="Aptos"/>
                <w:b w:val="0"/>
                <w:sz w:val="15"/>
              </w:rPr>
              <w:t>17.10%</w:t>
            </w:r>
          </w:p>
        </w:tc>
        <w:tc>
          <w:tcPr>
            <w:tcW w:type="dxa" w:w="2520"/>
            <w:vAlign w:val="center"/>
          </w:tcPr>
          <w:p>
            <w:r/>
            <w:r>
              <w:rPr>
                <w:rFonts w:ascii="Aptos" w:hAnsi="Aptos"/>
                <w:b w:val="0"/>
                <w:sz w:val="15"/>
              </w:rPr>
              <w:t>Income/poverty ratio; 5=&gt;=5.00</w:t>
            </w:r>
          </w:p>
        </w:tc>
      </w:tr>
    </w:tbl>
    <w:p>
      <w:pPr>
        <w:pStyle w:val="Heading1"/>
      </w:pPr>
      <w:r>
        <w:t>Appendix B. Minimal Data Dictionary Fields for the Next NHANES Files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D9E2F3"/>
          </w:tcPr>
          <w:p>
            <w:r/>
            <w:r>
              <w:rPr>
                <w:rFonts w:ascii="Aptos" w:hAnsi="Aptos"/>
                <w:b/>
                <w:sz w:val="16"/>
              </w:rPr>
              <w:t>Field</w:t>
            </w:r>
          </w:p>
        </w:tc>
        <w:tc>
          <w:tcPr>
            <w:tcW w:type="dxa" w:w="5040"/>
            <w:vAlign w:val="center"/>
            <w:shd w:fill="D9E2F3"/>
          </w:tcPr>
          <w:p>
            <w:r/>
            <w:r>
              <w:rPr>
                <w:rFonts w:ascii="Aptos" w:hAnsi="Aptos"/>
                <w:b/>
                <w:sz w:val="16"/>
              </w:rPr>
              <w:t>Required content</w:t>
            </w:r>
          </w:p>
        </w:tc>
      </w:tr>
      <w:tr>
        <w:trPr>
          <w:cantSplit/>
        </w:trPr>
        <w:tc>
          <w:tcPr>
            <w:tcW w:type="dxa" w:w="5040"/>
            <w:vAlign w:val="center"/>
          </w:tcPr>
          <w:p>
            <w:r/>
            <w:r>
              <w:rPr>
                <w:rFonts w:ascii="Aptos" w:hAnsi="Aptos"/>
                <w:b w:val="0"/>
                <w:sz w:val="16"/>
              </w:rPr>
              <w:t>source_component</w:t>
            </w:r>
          </w:p>
        </w:tc>
        <w:tc>
          <w:tcPr>
            <w:tcW w:type="dxa" w:w="5040"/>
            <w:vAlign w:val="center"/>
          </w:tcPr>
          <w:p>
            <w:r/>
            <w:r>
              <w:rPr>
                <w:rFonts w:ascii="Aptos" w:hAnsi="Aptos"/>
                <w:b w:val="0"/>
                <w:sz w:val="16"/>
              </w:rPr>
              <w:t>Demographics / Dietary / Examination / Laboratory / Questionnaire</w:t>
            </w:r>
          </w:p>
        </w:tc>
      </w:tr>
      <w:tr>
        <w:trPr>
          <w:cantSplit/>
        </w:trPr>
        <w:tc>
          <w:tcPr>
            <w:tcW w:type="dxa" w:w="5040"/>
            <w:vAlign w:val="center"/>
          </w:tcPr>
          <w:p>
            <w:r/>
            <w:r>
              <w:rPr>
                <w:rFonts w:ascii="Aptos" w:hAnsi="Aptos"/>
                <w:b w:val="0"/>
                <w:sz w:val="16"/>
              </w:rPr>
              <w:t>source_filename</w:t>
            </w:r>
          </w:p>
        </w:tc>
        <w:tc>
          <w:tcPr>
            <w:tcW w:type="dxa" w:w="5040"/>
            <w:vAlign w:val="center"/>
          </w:tcPr>
          <w:p>
            <w:r/>
            <w:r>
              <w:rPr>
                <w:rFonts w:ascii="Aptos" w:hAnsi="Aptos"/>
                <w:b w:val="0"/>
                <w:sz w:val="16"/>
              </w:rPr>
              <w:t>Exact NHANES file name</w:t>
            </w:r>
          </w:p>
        </w:tc>
      </w:tr>
      <w:tr>
        <w:trPr>
          <w:cantSplit/>
        </w:trPr>
        <w:tc>
          <w:tcPr>
            <w:tcW w:type="dxa" w:w="5040"/>
            <w:vAlign w:val="center"/>
          </w:tcPr>
          <w:p>
            <w:r/>
            <w:r>
              <w:rPr>
                <w:rFonts w:ascii="Aptos" w:hAnsi="Aptos"/>
                <w:b w:val="0"/>
                <w:sz w:val="16"/>
              </w:rPr>
              <w:t>variable</w:t>
            </w:r>
          </w:p>
        </w:tc>
        <w:tc>
          <w:tcPr>
            <w:tcW w:type="dxa" w:w="5040"/>
            <w:vAlign w:val="center"/>
          </w:tcPr>
          <w:p>
            <w:r/>
            <w:r>
              <w:rPr>
                <w:rFonts w:ascii="Aptos" w:hAnsi="Aptos"/>
                <w:b w:val="0"/>
                <w:sz w:val="16"/>
              </w:rPr>
              <w:t>Exact NHANES variable name</w:t>
            </w:r>
          </w:p>
        </w:tc>
      </w:tr>
      <w:tr>
        <w:trPr>
          <w:cantSplit/>
        </w:trPr>
        <w:tc>
          <w:tcPr>
            <w:tcW w:type="dxa" w:w="5040"/>
            <w:vAlign w:val="center"/>
          </w:tcPr>
          <w:p>
            <w:r/>
            <w:r>
              <w:rPr>
                <w:rFonts w:ascii="Aptos" w:hAnsi="Aptos"/>
                <w:b w:val="0"/>
                <w:sz w:val="16"/>
              </w:rPr>
              <w:t>label</w:t>
            </w:r>
          </w:p>
        </w:tc>
        <w:tc>
          <w:tcPr>
            <w:tcW w:type="dxa" w:w="5040"/>
            <w:vAlign w:val="center"/>
          </w:tcPr>
          <w:p>
            <w:r/>
            <w:r>
              <w:rPr>
                <w:rFonts w:ascii="Aptos" w:hAnsi="Aptos"/>
                <w:b w:val="0"/>
                <w:sz w:val="16"/>
              </w:rPr>
              <w:t>SAS label / English description</w:t>
            </w:r>
          </w:p>
        </w:tc>
      </w:tr>
      <w:tr>
        <w:trPr>
          <w:cantSplit/>
        </w:trPr>
        <w:tc>
          <w:tcPr>
            <w:tcW w:type="dxa" w:w="5040"/>
            <w:vAlign w:val="center"/>
          </w:tcPr>
          <w:p>
            <w:r/>
            <w:r>
              <w:rPr>
                <w:rFonts w:ascii="Aptos" w:hAnsi="Aptos"/>
                <w:b w:val="0"/>
                <w:sz w:val="16"/>
              </w:rPr>
              <w:t>semantic_type</w:t>
            </w:r>
          </w:p>
        </w:tc>
        <w:tc>
          <w:tcPr>
            <w:tcW w:type="dxa" w:w="5040"/>
            <w:vAlign w:val="center"/>
          </w:tcPr>
          <w:p>
            <w:r/>
            <w:r>
              <w:rPr>
                <w:rFonts w:ascii="Aptos" w:hAnsi="Aptos"/>
                <w:b w:val="0"/>
                <w:sz w:val="16"/>
              </w:rPr>
              <w:t>Identifier / binary / categorical / ordinal / continuous / censored / date/time</w:t>
            </w:r>
          </w:p>
        </w:tc>
      </w:tr>
      <w:tr>
        <w:trPr>
          <w:cantSplit/>
        </w:trPr>
        <w:tc>
          <w:tcPr>
            <w:tcW w:type="dxa" w:w="5040"/>
            <w:vAlign w:val="center"/>
          </w:tcPr>
          <w:p>
            <w:r/>
            <w:r>
              <w:rPr>
                <w:rFonts w:ascii="Aptos" w:hAnsi="Aptos"/>
                <w:b w:val="0"/>
                <w:sz w:val="16"/>
              </w:rPr>
              <w:t>unit</w:t>
            </w:r>
          </w:p>
        </w:tc>
        <w:tc>
          <w:tcPr>
            <w:tcW w:type="dxa" w:w="5040"/>
            <w:vAlign w:val="center"/>
          </w:tcPr>
          <w:p>
            <w:r/>
            <w:r>
              <w:rPr>
                <w:rFonts w:ascii="Aptos" w:hAnsi="Aptos"/>
                <w:b w:val="0"/>
                <w:sz w:val="16"/>
              </w:rPr>
              <w:t>mg/dL, %, years, etc.; where applicable</w:t>
            </w:r>
          </w:p>
        </w:tc>
      </w:tr>
      <w:tr>
        <w:trPr>
          <w:cantSplit/>
        </w:trPr>
        <w:tc>
          <w:tcPr>
            <w:tcW w:type="dxa" w:w="5040"/>
            <w:vAlign w:val="center"/>
          </w:tcPr>
          <w:p>
            <w:r/>
            <w:r>
              <w:rPr>
                <w:rFonts w:ascii="Aptos" w:hAnsi="Aptos"/>
                <w:b w:val="0"/>
                <w:sz w:val="16"/>
              </w:rPr>
              <w:t>target_population</w:t>
            </w:r>
          </w:p>
        </w:tc>
        <w:tc>
          <w:tcPr>
            <w:tcW w:type="dxa" w:w="5040"/>
            <w:vAlign w:val="center"/>
          </w:tcPr>
          <w:p>
            <w:r/>
            <w:r>
              <w:rPr>
                <w:rFonts w:ascii="Aptos" w:hAnsi="Aptos"/>
                <w:b w:val="0"/>
                <w:sz w:val="16"/>
              </w:rPr>
              <w:t>Documented age/sex/exam eligibility</w:t>
            </w:r>
          </w:p>
        </w:tc>
      </w:tr>
      <w:tr>
        <w:trPr>
          <w:cantSplit/>
        </w:trPr>
        <w:tc>
          <w:tcPr>
            <w:tcW w:type="dxa" w:w="5040"/>
            <w:vAlign w:val="center"/>
          </w:tcPr>
          <w:p>
            <w:r/>
            <w:r>
              <w:rPr>
                <w:rFonts w:ascii="Aptos" w:hAnsi="Aptos"/>
                <w:b w:val="0"/>
                <w:sz w:val="16"/>
              </w:rPr>
              <w:t>special_codes</w:t>
            </w:r>
          </w:p>
        </w:tc>
        <w:tc>
          <w:tcPr>
            <w:tcW w:type="dxa" w:w="5040"/>
            <w:vAlign w:val="center"/>
          </w:tcPr>
          <w:p>
            <w:r/>
            <w:r>
              <w:rPr>
                <w:rFonts w:ascii="Aptos" w:hAnsi="Aptos"/>
                <w:b w:val="0"/>
                <w:sz w:val="16"/>
              </w:rPr>
              <w:t>Refused / Don't know / Not done etc.</w:t>
            </w:r>
          </w:p>
        </w:tc>
      </w:tr>
      <w:tr>
        <w:trPr>
          <w:cantSplit/>
        </w:trPr>
        <w:tc>
          <w:tcPr>
            <w:tcW w:type="dxa" w:w="5040"/>
            <w:vAlign w:val="center"/>
          </w:tcPr>
          <w:p>
            <w:r/>
            <w:r>
              <w:rPr>
                <w:rFonts w:ascii="Aptos" w:hAnsi="Aptos"/>
                <w:b w:val="0"/>
                <w:sz w:val="16"/>
              </w:rPr>
              <w:t>missing_state_rule</w:t>
            </w:r>
          </w:p>
        </w:tc>
        <w:tc>
          <w:tcPr>
            <w:tcW w:type="dxa" w:w="5040"/>
            <w:vAlign w:val="center"/>
          </w:tcPr>
          <w:p>
            <w:r/>
            <w:r>
              <w:rPr>
                <w:rFonts w:ascii="Aptos" w:hAnsi="Aptos"/>
                <w:b w:val="0"/>
                <w:sz w:val="16"/>
              </w:rPr>
              <w:t>How blank/special code is interpreted</w:t>
            </w:r>
          </w:p>
        </w:tc>
      </w:tr>
      <w:tr>
        <w:trPr>
          <w:cantSplit/>
        </w:trPr>
        <w:tc>
          <w:tcPr>
            <w:tcW w:type="dxa" w:w="5040"/>
            <w:vAlign w:val="center"/>
          </w:tcPr>
          <w:p>
            <w:r/>
            <w:r>
              <w:rPr>
                <w:rFonts w:ascii="Aptos" w:hAnsi="Aptos"/>
                <w:b w:val="0"/>
                <w:sz w:val="16"/>
              </w:rPr>
              <w:t>weight_requirement</w:t>
            </w:r>
          </w:p>
        </w:tc>
        <w:tc>
          <w:tcPr>
            <w:tcW w:type="dxa" w:w="5040"/>
            <w:vAlign w:val="center"/>
          </w:tcPr>
          <w:p>
            <w:r/>
            <w:r>
              <w:rPr>
                <w:rFonts w:ascii="Aptos" w:hAnsi="Aptos"/>
                <w:b w:val="0"/>
                <w:sz w:val="16"/>
              </w:rPr>
              <w:t>Which NHANES weight applies</w:t>
            </w:r>
          </w:p>
        </w:tc>
      </w:tr>
      <w:tr>
        <w:trPr>
          <w:cantSplit/>
        </w:trPr>
        <w:tc>
          <w:tcPr>
            <w:tcW w:type="dxa" w:w="5040"/>
            <w:vAlign w:val="center"/>
          </w:tcPr>
          <w:p>
            <w:r/>
            <w:r>
              <w:rPr>
                <w:rFonts w:ascii="Aptos" w:hAnsi="Aptos"/>
                <w:b w:val="0"/>
                <w:sz w:val="16"/>
              </w:rPr>
              <w:t>provenance</w:t>
            </w:r>
          </w:p>
        </w:tc>
        <w:tc>
          <w:tcPr>
            <w:tcW w:type="dxa" w:w="5040"/>
            <w:vAlign w:val="center"/>
          </w:tcPr>
          <w:p>
            <w:r/>
            <w:r>
              <w:rPr>
                <w:rFonts w:ascii="Aptos" w:hAnsi="Aptos"/>
                <w:b w:val="0"/>
                <w:sz w:val="16"/>
              </w:rPr>
              <w:t>Documentation URL and release version</w:t>
            </w:r>
          </w:p>
        </w:tc>
      </w:tr>
      <w:tr>
        <w:trPr>
          <w:cantSplit/>
        </w:trPr>
        <w:tc>
          <w:tcPr>
            <w:tcW w:type="dxa" w:w="5040"/>
            <w:vAlign w:val="center"/>
          </w:tcPr>
          <w:p>
            <w:r/>
            <w:r>
              <w:rPr>
                <w:rFonts w:ascii="Aptos" w:hAnsi="Aptos"/>
                <w:b w:val="0"/>
                <w:sz w:val="16"/>
              </w:rPr>
              <w:t>transform</w:t>
            </w:r>
          </w:p>
        </w:tc>
        <w:tc>
          <w:tcPr>
            <w:tcW w:type="dxa" w:w="5040"/>
            <w:vAlign w:val="center"/>
          </w:tcPr>
          <w:p>
            <w:r/>
            <w:r>
              <w:rPr>
                <w:rFonts w:ascii="Aptos" w:hAnsi="Aptos"/>
                <w:b w:val="0"/>
                <w:sz w:val="16"/>
              </w:rPr>
              <w:t>MIR transformation rule, if any</w:t>
            </w:r>
          </w:p>
        </w:tc>
      </w:tr>
      <w:tr>
        <w:trPr>
          <w:cantSplit/>
        </w:trPr>
        <w:tc>
          <w:tcPr>
            <w:tcW w:type="dxa" w:w="5040"/>
            <w:vAlign w:val="center"/>
          </w:tcPr>
          <w:p>
            <w:r/>
            <w:r>
              <w:rPr>
                <w:rFonts w:ascii="Aptos" w:hAnsi="Aptos"/>
                <w:b w:val="0"/>
                <w:sz w:val="16"/>
              </w:rPr>
              <w:t>model_role</w:t>
            </w:r>
          </w:p>
        </w:tc>
        <w:tc>
          <w:tcPr>
            <w:tcW w:type="dxa" w:w="5040"/>
            <w:vAlign w:val="center"/>
          </w:tcPr>
          <w:p>
            <w:r/>
            <w:r>
              <w:rPr>
                <w:rFonts w:ascii="Aptos" w:hAnsi="Aptos"/>
                <w:b w:val="0"/>
                <w:sz w:val="16"/>
              </w:rPr>
              <w:t>Feature / outcome / design variable / identifier / excluded</w:t>
            </w:r>
          </w:p>
        </w:tc>
      </w:tr>
    </w:tbl>
    <w:p>
      <w:pPr>
        <w:pStyle w:val="Heading1"/>
      </w:pPr>
      <w:r>
        <w:t>Appendix C. Decision Log for This EDA</w:t>
      </w:r>
    </w:p>
    <w:p>
      <w:r>
        <w:t>Decision 1: Raw null percentage is a descriptive metric, not a direct estimate of missingness severity.</w:t>
      </w:r>
    </w:p>
    <w:p>
      <w:r>
        <w:t>Decision 2: Structural inapplicability must be encoded separately from imputable missingness.</w:t>
      </w:r>
    </w:p>
    <w:p>
      <w:r>
        <w:t>Decision 3: Special response codes must be normalized before numeric descriptive statistics.</w:t>
      </w:r>
    </w:p>
    <w:p>
      <w:r>
        <w:t>Decision 4: Survey weights and variance variables must be preserved but excluded from ordinary predictive feature sets.</w:t>
      </w:r>
    </w:p>
    <w:p>
      <w:r>
        <w:t>Decision 5: Top-coded values must not be treated as exact observations.</w:t>
      </w:r>
    </w:p>
    <w:p>
      <w:r>
        <w:t>Decision 6: The first MIR missingness experiment should benchmark multiple handling strategies under controlled masking.</w:t>
      </w:r>
    </w:p>
    <w:p>
      <w:r>
        <w:t>Decision 7: DEMO_L should become the prototype for the MIR evidence-state data model before full multi-component integration.</w:t>
      </w:r>
    </w:p>
    <w:p>
      <w:pPr>
        <w:pStyle w:val="Heading1"/>
      </w:pPr>
      <w:r>
        <w:t>Appendix D. Source and Analysis Notes</w:t>
      </w:r>
    </w:p>
    <w:p>
      <w:r>
        <w:t>Source-derived facts in this report were taken from the supplied NHANES DEMO_L documentation and the official CDC/NCHS analytic guidance. The descriptive EDA values (row counts, feature counts, raw null counts/percentages, and descriptive statistics) were supplied by the research team. Methodological recommendations are research design proposals and should be tested on the actual integrated dataset before being adopted as a final preprocessing specification.</w:t>
      </w:r>
    </w:p>
    <w:p>
      <w:r>
        <w:br w:type="page"/>
      </w:r>
    </w:p>
    <w:p>
      <w:pPr>
        <w:pStyle w:val="Heading1"/>
      </w:pPr>
      <w:r>
        <w:t>Appendix E. Full Supplied EDA Feature Profile</w:t>
      </w:r>
    </w:p>
    <w:p>
      <w:r>
        <w:t>This appendix reproduces the complete feature-level profile supplied by the research team for the 27 DEMO_L columns. The counts and percentages are treated as exploratory outputs from the team's initial analysis; semantic interpretation is provided elsewhere in this report.</w:t>
      </w:r>
    </w:p>
    <w:tbl>
      <w:tblPr>
        <w:tblStyle w:val="TableGrid"/>
        <w:tblW w:type="auto" w:w="0"/>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r>
              <w:rPr>
                <w:b/>
                <w:sz w:val="14"/>
              </w:rPr>
              <w:t>Index</w:t>
            </w:r>
          </w:p>
        </w:tc>
        <w:tc>
          <w:tcPr>
            <w:tcW w:type="dxa" w:w="1260"/>
          </w:tcPr>
          <w:p>
            <w:r>
              <w:rPr>
                <w:b/>
                <w:sz w:val="14"/>
              </w:rPr>
              <w:t>Feature</w:t>
            </w:r>
          </w:p>
        </w:tc>
        <w:tc>
          <w:tcPr>
            <w:tcW w:type="dxa" w:w="1260"/>
          </w:tcPr>
          <w:p>
            <w:r>
              <w:rPr>
                <w:b/>
                <w:sz w:val="14"/>
              </w:rPr>
              <w:t>Physical dtype</w:t>
            </w:r>
          </w:p>
        </w:tc>
        <w:tc>
          <w:tcPr>
            <w:tcW w:type="dxa" w:w="1260"/>
          </w:tcPr>
          <w:p>
            <w:r>
              <w:rPr>
                <w:b/>
                <w:sz w:val="14"/>
              </w:rPr>
              <w:t>Non-null</w:t>
            </w:r>
          </w:p>
        </w:tc>
        <w:tc>
          <w:tcPr>
            <w:tcW w:type="dxa" w:w="1260"/>
          </w:tcPr>
          <w:p>
            <w:r>
              <w:rPr>
                <w:b/>
                <w:sz w:val="14"/>
              </w:rPr>
              <w:t>Null</w:t>
            </w:r>
          </w:p>
        </w:tc>
        <w:tc>
          <w:tcPr>
            <w:tcW w:type="dxa" w:w="1260"/>
          </w:tcPr>
          <w:p>
            <w:r>
              <w:rPr>
                <w:b/>
                <w:sz w:val="14"/>
              </w:rPr>
              <w:t>Null %</w:t>
            </w:r>
          </w:p>
        </w:tc>
        <w:tc>
          <w:tcPr>
            <w:tcW w:type="dxa" w:w="1260"/>
          </w:tcPr>
          <w:p>
            <w:r>
              <w:rPr>
                <w:b/>
                <w:sz w:val="14"/>
              </w:rPr>
              <w:t>Unique</w:t>
            </w:r>
          </w:p>
        </w:tc>
        <w:tc>
          <w:tcPr>
            <w:tcW w:type="dxa" w:w="1260"/>
          </w:tcPr>
          <w:p>
            <w:r>
              <w:rPr>
                <w:b/>
                <w:sz w:val="14"/>
              </w:rPr>
              <w:t>Sample</w:t>
            </w:r>
          </w:p>
        </w:tc>
      </w:tr>
      <w:tr>
        <w:trPr>
          <w:cantSplit/>
        </w:trPr>
        <w:tc>
          <w:tcPr>
            <w:tcW w:type="dxa" w:w="1260"/>
            <w:vAlign w:val="center"/>
          </w:tcPr>
          <w:p>
            <w:r>
              <w:rPr>
                <w:sz w:val="13"/>
              </w:rPr>
              <w:t>1</w:t>
            </w:r>
          </w:p>
        </w:tc>
        <w:tc>
          <w:tcPr>
            <w:tcW w:type="dxa" w:w="1260"/>
            <w:vAlign w:val="center"/>
          </w:tcPr>
          <w:p>
            <w:r>
              <w:rPr>
                <w:sz w:val="13"/>
              </w:rPr>
              <w:t>SEQN</w:t>
            </w:r>
          </w:p>
        </w:tc>
        <w:tc>
          <w:tcPr>
            <w:tcW w:type="dxa" w:w="1260"/>
            <w:vAlign w:val="center"/>
          </w:tcPr>
          <w:p>
            <w:r>
              <w:rPr>
                <w:sz w:val="13"/>
              </w:rPr>
              <w:t>float64</w:t>
            </w:r>
          </w:p>
        </w:tc>
        <w:tc>
          <w:tcPr>
            <w:tcW w:type="dxa" w:w="1260"/>
            <w:vAlign w:val="center"/>
          </w:tcPr>
          <w:p>
            <w:r>
              <w:rPr>
                <w:sz w:val="13"/>
              </w:rPr>
              <w:t>11,933</w:t>
            </w:r>
          </w:p>
        </w:tc>
        <w:tc>
          <w:tcPr>
            <w:tcW w:type="dxa" w:w="1260"/>
            <w:vAlign w:val="center"/>
          </w:tcPr>
          <w:p>
            <w:r>
              <w:rPr>
                <w:sz w:val="13"/>
              </w:rPr>
              <w:t>0</w:t>
            </w:r>
          </w:p>
        </w:tc>
        <w:tc>
          <w:tcPr>
            <w:tcW w:type="dxa" w:w="1260"/>
            <w:vAlign w:val="center"/>
          </w:tcPr>
          <w:p>
            <w:r>
              <w:rPr>
                <w:sz w:val="13"/>
              </w:rPr>
              <w:t>0.00%</w:t>
            </w:r>
          </w:p>
        </w:tc>
        <w:tc>
          <w:tcPr>
            <w:tcW w:type="dxa" w:w="1260"/>
            <w:vAlign w:val="center"/>
          </w:tcPr>
          <w:p>
            <w:r>
              <w:rPr>
                <w:sz w:val="13"/>
              </w:rPr>
              <w:t>11,933</w:t>
            </w:r>
          </w:p>
        </w:tc>
        <w:tc>
          <w:tcPr>
            <w:tcW w:type="dxa" w:w="1260"/>
            <w:vAlign w:val="center"/>
          </w:tcPr>
          <w:p>
            <w:r>
              <w:rPr>
                <w:sz w:val="13"/>
              </w:rPr>
              <w:t>130378.000</w:t>
            </w:r>
          </w:p>
        </w:tc>
      </w:tr>
      <w:tr>
        <w:trPr>
          <w:cantSplit/>
        </w:trPr>
        <w:tc>
          <w:tcPr>
            <w:tcW w:type="dxa" w:w="1260"/>
            <w:vAlign w:val="center"/>
          </w:tcPr>
          <w:p>
            <w:r>
              <w:rPr>
                <w:sz w:val="13"/>
              </w:rPr>
              <w:t>2</w:t>
            </w:r>
          </w:p>
        </w:tc>
        <w:tc>
          <w:tcPr>
            <w:tcW w:type="dxa" w:w="1260"/>
            <w:vAlign w:val="center"/>
          </w:tcPr>
          <w:p>
            <w:r>
              <w:rPr>
                <w:sz w:val="13"/>
              </w:rPr>
              <w:t>SDDSRVYR</w:t>
            </w:r>
          </w:p>
        </w:tc>
        <w:tc>
          <w:tcPr>
            <w:tcW w:type="dxa" w:w="1260"/>
            <w:vAlign w:val="center"/>
          </w:tcPr>
          <w:p>
            <w:r>
              <w:rPr>
                <w:sz w:val="13"/>
              </w:rPr>
              <w:t>float64</w:t>
            </w:r>
          </w:p>
        </w:tc>
        <w:tc>
          <w:tcPr>
            <w:tcW w:type="dxa" w:w="1260"/>
            <w:vAlign w:val="center"/>
          </w:tcPr>
          <w:p>
            <w:r>
              <w:rPr>
                <w:sz w:val="13"/>
              </w:rPr>
              <w:t>11,933</w:t>
            </w:r>
          </w:p>
        </w:tc>
        <w:tc>
          <w:tcPr>
            <w:tcW w:type="dxa" w:w="1260"/>
            <w:vAlign w:val="center"/>
          </w:tcPr>
          <w:p>
            <w:r>
              <w:rPr>
                <w:sz w:val="13"/>
              </w:rPr>
              <w:t>0</w:t>
            </w:r>
          </w:p>
        </w:tc>
        <w:tc>
          <w:tcPr>
            <w:tcW w:type="dxa" w:w="1260"/>
            <w:vAlign w:val="center"/>
          </w:tcPr>
          <w:p>
            <w:r>
              <w:rPr>
                <w:sz w:val="13"/>
              </w:rPr>
              <w:t>0.00%</w:t>
            </w:r>
          </w:p>
        </w:tc>
        <w:tc>
          <w:tcPr>
            <w:tcW w:type="dxa" w:w="1260"/>
            <w:vAlign w:val="center"/>
          </w:tcPr>
          <w:p>
            <w:r>
              <w:rPr>
                <w:sz w:val="13"/>
              </w:rPr>
              <w:t>1</w:t>
            </w:r>
          </w:p>
        </w:tc>
        <w:tc>
          <w:tcPr>
            <w:tcW w:type="dxa" w:w="1260"/>
            <w:vAlign w:val="center"/>
          </w:tcPr>
          <w:p>
            <w:r>
              <w:rPr>
                <w:sz w:val="13"/>
              </w:rPr>
              <w:t>12.000</w:t>
            </w:r>
          </w:p>
        </w:tc>
      </w:tr>
      <w:tr>
        <w:trPr>
          <w:cantSplit/>
        </w:trPr>
        <w:tc>
          <w:tcPr>
            <w:tcW w:type="dxa" w:w="1260"/>
            <w:vAlign w:val="center"/>
          </w:tcPr>
          <w:p>
            <w:r>
              <w:rPr>
                <w:sz w:val="13"/>
              </w:rPr>
              <w:t>3</w:t>
            </w:r>
          </w:p>
        </w:tc>
        <w:tc>
          <w:tcPr>
            <w:tcW w:type="dxa" w:w="1260"/>
            <w:vAlign w:val="center"/>
          </w:tcPr>
          <w:p>
            <w:r>
              <w:rPr>
                <w:sz w:val="13"/>
              </w:rPr>
              <w:t>RIDSTATR</w:t>
            </w:r>
          </w:p>
        </w:tc>
        <w:tc>
          <w:tcPr>
            <w:tcW w:type="dxa" w:w="1260"/>
            <w:vAlign w:val="center"/>
          </w:tcPr>
          <w:p>
            <w:r>
              <w:rPr>
                <w:sz w:val="13"/>
              </w:rPr>
              <w:t>float64</w:t>
            </w:r>
          </w:p>
        </w:tc>
        <w:tc>
          <w:tcPr>
            <w:tcW w:type="dxa" w:w="1260"/>
            <w:vAlign w:val="center"/>
          </w:tcPr>
          <w:p>
            <w:r>
              <w:rPr>
                <w:sz w:val="13"/>
              </w:rPr>
              <w:t>11,933</w:t>
            </w:r>
          </w:p>
        </w:tc>
        <w:tc>
          <w:tcPr>
            <w:tcW w:type="dxa" w:w="1260"/>
            <w:vAlign w:val="center"/>
          </w:tcPr>
          <w:p>
            <w:r>
              <w:rPr>
                <w:sz w:val="13"/>
              </w:rPr>
              <w:t>0</w:t>
            </w:r>
          </w:p>
        </w:tc>
        <w:tc>
          <w:tcPr>
            <w:tcW w:type="dxa" w:w="1260"/>
            <w:vAlign w:val="center"/>
          </w:tcPr>
          <w:p>
            <w:r>
              <w:rPr>
                <w:sz w:val="13"/>
              </w:rPr>
              <w:t>0.00%</w:t>
            </w:r>
          </w:p>
        </w:tc>
        <w:tc>
          <w:tcPr>
            <w:tcW w:type="dxa" w:w="1260"/>
            <w:vAlign w:val="center"/>
          </w:tcPr>
          <w:p>
            <w:r>
              <w:rPr>
                <w:sz w:val="13"/>
              </w:rPr>
              <w:t>2</w:t>
            </w:r>
          </w:p>
        </w:tc>
        <w:tc>
          <w:tcPr>
            <w:tcW w:type="dxa" w:w="1260"/>
            <w:vAlign w:val="center"/>
          </w:tcPr>
          <w:p>
            <w:r>
              <w:rPr>
                <w:sz w:val="13"/>
              </w:rPr>
              <w:t>2.000</w:t>
            </w:r>
          </w:p>
        </w:tc>
      </w:tr>
      <w:tr>
        <w:trPr>
          <w:cantSplit/>
        </w:trPr>
        <w:tc>
          <w:tcPr>
            <w:tcW w:type="dxa" w:w="1260"/>
            <w:vAlign w:val="center"/>
          </w:tcPr>
          <w:p>
            <w:r>
              <w:rPr>
                <w:sz w:val="13"/>
              </w:rPr>
              <w:t>4</w:t>
            </w:r>
          </w:p>
        </w:tc>
        <w:tc>
          <w:tcPr>
            <w:tcW w:type="dxa" w:w="1260"/>
            <w:vAlign w:val="center"/>
          </w:tcPr>
          <w:p>
            <w:r>
              <w:rPr>
                <w:sz w:val="13"/>
              </w:rPr>
              <w:t>RIAGENDR</w:t>
            </w:r>
          </w:p>
        </w:tc>
        <w:tc>
          <w:tcPr>
            <w:tcW w:type="dxa" w:w="1260"/>
            <w:vAlign w:val="center"/>
          </w:tcPr>
          <w:p>
            <w:r>
              <w:rPr>
                <w:sz w:val="13"/>
              </w:rPr>
              <w:t>float64</w:t>
            </w:r>
          </w:p>
        </w:tc>
        <w:tc>
          <w:tcPr>
            <w:tcW w:type="dxa" w:w="1260"/>
            <w:vAlign w:val="center"/>
          </w:tcPr>
          <w:p>
            <w:r>
              <w:rPr>
                <w:sz w:val="13"/>
              </w:rPr>
              <w:t>11,933</w:t>
            </w:r>
          </w:p>
        </w:tc>
        <w:tc>
          <w:tcPr>
            <w:tcW w:type="dxa" w:w="1260"/>
            <w:vAlign w:val="center"/>
          </w:tcPr>
          <w:p>
            <w:r>
              <w:rPr>
                <w:sz w:val="13"/>
              </w:rPr>
              <w:t>0</w:t>
            </w:r>
          </w:p>
        </w:tc>
        <w:tc>
          <w:tcPr>
            <w:tcW w:type="dxa" w:w="1260"/>
            <w:vAlign w:val="center"/>
          </w:tcPr>
          <w:p>
            <w:r>
              <w:rPr>
                <w:sz w:val="13"/>
              </w:rPr>
              <w:t>0.00%</w:t>
            </w:r>
          </w:p>
        </w:tc>
        <w:tc>
          <w:tcPr>
            <w:tcW w:type="dxa" w:w="1260"/>
            <w:vAlign w:val="center"/>
          </w:tcPr>
          <w:p>
            <w:r>
              <w:rPr>
                <w:sz w:val="13"/>
              </w:rPr>
              <w:t>2</w:t>
            </w:r>
          </w:p>
        </w:tc>
        <w:tc>
          <w:tcPr>
            <w:tcW w:type="dxa" w:w="1260"/>
            <w:vAlign w:val="center"/>
          </w:tcPr>
          <w:p>
            <w:r>
              <w:rPr>
                <w:sz w:val="13"/>
              </w:rPr>
              <w:t>1.000</w:t>
            </w:r>
          </w:p>
        </w:tc>
      </w:tr>
      <w:tr>
        <w:trPr>
          <w:cantSplit/>
        </w:trPr>
        <w:tc>
          <w:tcPr>
            <w:tcW w:type="dxa" w:w="1260"/>
            <w:vAlign w:val="center"/>
          </w:tcPr>
          <w:p>
            <w:r>
              <w:rPr>
                <w:sz w:val="13"/>
              </w:rPr>
              <w:t>5</w:t>
            </w:r>
          </w:p>
        </w:tc>
        <w:tc>
          <w:tcPr>
            <w:tcW w:type="dxa" w:w="1260"/>
            <w:vAlign w:val="center"/>
          </w:tcPr>
          <w:p>
            <w:r>
              <w:rPr>
                <w:sz w:val="13"/>
              </w:rPr>
              <w:t>RIDAGEYR</w:t>
            </w:r>
          </w:p>
        </w:tc>
        <w:tc>
          <w:tcPr>
            <w:tcW w:type="dxa" w:w="1260"/>
            <w:vAlign w:val="center"/>
          </w:tcPr>
          <w:p>
            <w:r>
              <w:rPr>
                <w:sz w:val="13"/>
              </w:rPr>
              <w:t>float64</w:t>
            </w:r>
          </w:p>
        </w:tc>
        <w:tc>
          <w:tcPr>
            <w:tcW w:type="dxa" w:w="1260"/>
            <w:vAlign w:val="center"/>
          </w:tcPr>
          <w:p>
            <w:r>
              <w:rPr>
                <w:sz w:val="13"/>
              </w:rPr>
              <w:t>11,933</w:t>
            </w:r>
          </w:p>
        </w:tc>
        <w:tc>
          <w:tcPr>
            <w:tcW w:type="dxa" w:w="1260"/>
            <w:vAlign w:val="center"/>
          </w:tcPr>
          <w:p>
            <w:r>
              <w:rPr>
                <w:sz w:val="13"/>
              </w:rPr>
              <w:t>0</w:t>
            </w:r>
          </w:p>
        </w:tc>
        <w:tc>
          <w:tcPr>
            <w:tcW w:type="dxa" w:w="1260"/>
            <w:vAlign w:val="center"/>
          </w:tcPr>
          <w:p>
            <w:r>
              <w:rPr>
                <w:sz w:val="13"/>
              </w:rPr>
              <w:t>0.00%</w:t>
            </w:r>
          </w:p>
        </w:tc>
        <w:tc>
          <w:tcPr>
            <w:tcW w:type="dxa" w:w="1260"/>
            <w:vAlign w:val="center"/>
          </w:tcPr>
          <w:p>
            <w:r>
              <w:rPr>
                <w:sz w:val="13"/>
              </w:rPr>
              <w:t>81</w:t>
            </w:r>
          </w:p>
        </w:tc>
        <w:tc>
          <w:tcPr>
            <w:tcW w:type="dxa" w:w="1260"/>
            <w:vAlign w:val="center"/>
          </w:tcPr>
          <w:p>
            <w:r>
              <w:rPr>
                <w:sz w:val="13"/>
              </w:rPr>
              <w:t>43.000</w:t>
            </w:r>
          </w:p>
        </w:tc>
      </w:tr>
      <w:tr>
        <w:trPr>
          <w:cantSplit/>
        </w:trPr>
        <w:tc>
          <w:tcPr>
            <w:tcW w:type="dxa" w:w="1260"/>
            <w:vAlign w:val="center"/>
          </w:tcPr>
          <w:p>
            <w:r>
              <w:rPr>
                <w:sz w:val="13"/>
              </w:rPr>
              <w:t>6</w:t>
            </w:r>
          </w:p>
        </w:tc>
        <w:tc>
          <w:tcPr>
            <w:tcW w:type="dxa" w:w="1260"/>
            <w:vAlign w:val="center"/>
          </w:tcPr>
          <w:p>
            <w:r>
              <w:rPr>
                <w:sz w:val="13"/>
              </w:rPr>
              <w:t>RIDAGEMN</w:t>
            </w:r>
          </w:p>
        </w:tc>
        <w:tc>
          <w:tcPr>
            <w:tcW w:type="dxa" w:w="1260"/>
            <w:vAlign w:val="center"/>
          </w:tcPr>
          <w:p>
            <w:r>
              <w:rPr>
                <w:sz w:val="13"/>
              </w:rPr>
              <w:t>float64</w:t>
            </w:r>
          </w:p>
        </w:tc>
        <w:tc>
          <w:tcPr>
            <w:tcW w:type="dxa" w:w="1260"/>
            <w:vAlign w:val="center"/>
          </w:tcPr>
          <w:p>
            <w:r>
              <w:rPr>
                <w:sz w:val="13"/>
              </w:rPr>
              <w:t>377</w:t>
            </w:r>
          </w:p>
        </w:tc>
        <w:tc>
          <w:tcPr>
            <w:tcW w:type="dxa" w:w="1260"/>
            <w:vAlign w:val="center"/>
          </w:tcPr>
          <w:p>
            <w:r>
              <w:rPr>
                <w:sz w:val="13"/>
              </w:rPr>
              <w:t>11,556</w:t>
            </w:r>
          </w:p>
        </w:tc>
        <w:tc>
          <w:tcPr>
            <w:tcW w:type="dxa" w:w="1260"/>
            <w:vAlign w:val="center"/>
          </w:tcPr>
          <w:p>
            <w:r>
              <w:rPr>
                <w:sz w:val="13"/>
              </w:rPr>
              <w:t>96.84%</w:t>
            </w:r>
          </w:p>
        </w:tc>
        <w:tc>
          <w:tcPr>
            <w:tcW w:type="dxa" w:w="1260"/>
            <w:vAlign w:val="center"/>
          </w:tcPr>
          <w:p>
            <w:r>
              <w:rPr>
                <w:sz w:val="13"/>
              </w:rPr>
              <w:t>25</w:t>
            </w:r>
          </w:p>
        </w:tc>
        <w:tc>
          <w:tcPr>
            <w:tcW w:type="dxa" w:w="1260"/>
            <w:vAlign w:val="center"/>
          </w:tcPr>
          <w:p>
            <w:r>
              <w:rPr>
                <w:sz w:val="13"/>
              </w:rPr>
              <w:t>24.000</w:t>
            </w:r>
          </w:p>
        </w:tc>
      </w:tr>
      <w:tr>
        <w:trPr>
          <w:cantSplit/>
        </w:trPr>
        <w:tc>
          <w:tcPr>
            <w:tcW w:type="dxa" w:w="1260"/>
            <w:vAlign w:val="center"/>
          </w:tcPr>
          <w:p>
            <w:r>
              <w:rPr>
                <w:sz w:val="13"/>
              </w:rPr>
              <w:t>7</w:t>
            </w:r>
          </w:p>
        </w:tc>
        <w:tc>
          <w:tcPr>
            <w:tcW w:type="dxa" w:w="1260"/>
            <w:vAlign w:val="center"/>
          </w:tcPr>
          <w:p>
            <w:r>
              <w:rPr>
                <w:sz w:val="13"/>
              </w:rPr>
              <w:t>RIDRETH1</w:t>
            </w:r>
          </w:p>
        </w:tc>
        <w:tc>
          <w:tcPr>
            <w:tcW w:type="dxa" w:w="1260"/>
            <w:vAlign w:val="center"/>
          </w:tcPr>
          <w:p>
            <w:r>
              <w:rPr>
                <w:sz w:val="13"/>
              </w:rPr>
              <w:t>float64</w:t>
            </w:r>
          </w:p>
        </w:tc>
        <w:tc>
          <w:tcPr>
            <w:tcW w:type="dxa" w:w="1260"/>
            <w:vAlign w:val="center"/>
          </w:tcPr>
          <w:p>
            <w:r>
              <w:rPr>
                <w:sz w:val="13"/>
              </w:rPr>
              <w:t>11,933</w:t>
            </w:r>
          </w:p>
        </w:tc>
        <w:tc>
          <w:tcPr>
            <w:tcW w:type="dxa" w:w="1260"/>
            <w:vAlign w:val="center"/>
          </w:tcPr>
          <w:p>
            <w:r>
              <w:rPr>
                <w:sz w:val="13"/>
              </w:rPr>
              <w:t>0</w:t>
            </w:r>
          </w:p>
        </w:tc>
        <w:tc>
          <w:tcPr>
            <w:tcW w:type="dxa" w:w="1260"/>
            <w:vAlign w:val="center"/>
          </w:tcPr>
          <w:p>
            <w:r>
              <w:rPr>
                <w:sz w:val="13"/>
              </w:rPr>
              <w:t>0.00%</w:t>
            </w:r>
          </w:p>
        </w:tc>
        <w:tc>
          <w:tcPr>
            <w:tcW w:type="dxa" w:w="1260"/>
            <w:vAlign w:val="center"/>
          </w:tcPr>
          <w:p>
            <w:r>
              <w:rPr>
                <w:sz w:val="13"/>
              </w:rPr>
              <w:t>5</w:t>
            </w:r>
          </w:p>
        </w:tc>
        <w:tc>
          <w:tcPr>
            <w:tcW w:type="dxa" w:w="1260"/>
            <w:vAlign w:val="center"/>
          </w:tcPr>
          <w:p>
            <w:r>
              <w:rPr>
                <w:sz w:val="13"/>
              </w:rPr>
              <w:t>5.000</w:t>
            </w:r>
          </w:p>
        </w:tc>
      </w:tr>
      <w:tr>
        <w:trPr>
          <w:cantSplit/>
        </w:trPr>
        <w:tc>
          <w:tcPr>
            <w:tcW w:type="dxa" w:w="1260"/>
            <w:vAlign w:val="center"/>
          </w:tcPr>
          <w:p>
            <w:r>
              <w:rPr>
                <w:sz w:val="13"/>
              </w:rPr>
              <w:t>8</w:t>
            </w:r>
          </w:p>
        </w:tc>
        <w:tc>
          <w:tcPr>
            <w:tcW w:type="dxa" w:w="1260"/>
            <w:vAlign w:val="center"/>
          </w:tcPr>
          <w:p>
            <w:r>
              <w:rPr>
                <w:sz w:val="13"/>
              </w:rPr>
              <w:t>RIDRETH3</w:t>
            </w:r>
          </w:p>
        </w:tc>
        <w:tc>
          <w:tcPr>
            <w:tcW w:type="dxa" w:w="1260"/>
            <w:vAlign w:val="center"/>
          </w:tcPr>
          <w:p>
            <w:r>
              <w:rPr>
                <w:sz w:val="13"/>
              </w:rPr>
              <w:t>float64</w:t>
            </w:r>
          </w:p>
        </w:tc>
        <w:tc>
          <w:tcPr>
            <w:tcW w:type="dxa" w:w="1260"/>
            <w:vAlign w:val="center"/>
          </w:tcPr>
          <w:p>
            <w:r>
              <w:rPr>
                <w:sz w:val="13"/>
              </w:rPr>
              <w:t>11,933</w:t>
            </w:r>
          </w:p>
        </w:tc>
        <w:tc>
          <w:tcPr>
            <w:tcW w:type="dxa" w:w="1260"/>
            <w:vAlign w:val="center"/>
          </w:tcPr>
          <w:p>
            <w:r>
              <w:rPr>
                <w:sz w:val="13"/>
              </w:rPr>
              <w:t>0</w:t>
            </w:r>
          </w:p>
        </w:tc>
        <w:tc>
          <w:tcPr>
            <w:tcW w:type="dxa" w:w="1260"/>
            <w:vAlign w:val="center"/>
          </w:tcPr>
          <w:p>
            <w:r>
              <w:rPr>
                <w:sz w:val="13"/>
              </w:rPr>
              <w:t>0.00%</w:t>
            </w:r>
          </w:p>
        </w:tc>
        <w:tc>
          <w:tcPr>
            <w:tcW w:type="dxa" w:w="1260"/>
            <w:vAlign w:val="center"/>
          </w:tcPr>
          <w:p>
            <w:r>
              <w:rPr>
                <w:sz w:val="13"/>
              </w:rPr>
              <w:t>6</w:t>
            </w:r>
          </w:p>
        </w:tc>
        <w:tc>
          <w:tcPr>
            <w:tcW w:type="dxa" w:w="1260"/>
            <w:vAlign w:val="center"/>
          </w:tcPr>
          <w:p>
            <w:r>
              <w:rPr>
                <w:sz w:val="13"/>
              </w:rPr>
              <w:t>6.000</w:t>
            </w:r>
          </w:p>
        </w:tc>
      </w:tr>
      <w:tr>
        <w:trPr>
          <w:cantSplit/>
        </w:trPr>
        <w:tc>
          <w:tcPr>
            <w:tcW w:type="dxa" w:w="1260"/>
            <w:vAlign w:val="center"/>
          </w:tcPr>
          <w:p>
            <w:r>
              <w:rPr>
                <w:sz w:val="13"/>
              </w:rPr>
              <w:t>9</w:t>
            </w:r>
          </w:p>
        </w:tc>
        <w:tc>
          <w:tcPr>
            <w:tcW w:type="dxa" w:w="1260"/>
            <w:vAlign w:val="center"/>
          </w:tcPr>
          <w:p>
            <w:r>
              <w:rPr>
                <w:sz w:val="13"/>
              </w:rPr>
              <w:t>RIDEXMON</w:t>
            </w:r>
          </w:p>
        </w:tc>
        <w:tc>
          <w:tcPr>
            <w:tcW w:type="dxa" w:w="1260"/>
            <w:vAlign w:val="center"/>
          </w:tcPr>
          <w:p>
            <w:r>
              <w:rPr>
                <w:sz w:val="13"/>
              </w:rPr>
              <w:t>float64</w:t>
            </w:r>
          </w:p>
        </w:tc>
        <w:tc>
          <w:tcPr>
            <w:tcW w:type="dxa" w:w="1260"/>
            <w:vAlign w:val="center"/>
          </w:tcPr>
          <w:p>
            <w:r>
              <w:rPr>
                <w:sz w:val="13"/>
              </w:rPr>
              <w:t>8,860</w:t>
            </w:r>
          </w:p>
        </w:tc>
        <w:tc>
          <w:tcPr>
            <w:tcW w:type="dxa" w:w="1260"/>
            <w:vAlign w:val="center"/>
          </w:tcPr>
          <w:p>
            <w:r>
              <w:rPr>
                <w:sz w:val="13"/>
              </w:rPr>
              <w:t>3,073</w:t>
            </w:r>
          </w:p>
        </w:tc>
        <w:tc>
          <w:tcPr>
            <w:tcW w:type="dxa" w:w="1260"/>
            <w:vAlign w:val="center"/>
          </w:tcPr>
          <w:p>
            <w:r>
              <w:rPr>
                <w:sz w:val="13"/>
              </w:rPr>
              <w:t>25.75%</w:t>
            </w:r>
          </w:p>
        </w:tc>
        <w:tc>
          <w:tcPr>
            <w:tcW w:type="dxa" w:w="1260"/>
            <w:vAlign w:val="center"/>
          </w:tcPr>
          <w:p>
            <w:r>
              <w:rPr>
                <w:sz w:val="13"/>
              </w:rPr>
              <w:t>2</w:t>
            </w:r>
          </w:p>
        </w:tc>
        <w:tc>
          <w:tcPr>
            <w:tcW w:type="dxa" w:w="1260"/>
            <w:vAlign w:val="center"/>
          </w:tcPr>
          <w:p>
            <w:r>
              <w:rPr>
                <w:sz w:val="13"/>
              </w:rPr>
              <w:t>2.000</w:t>
            </w:r>
          </w:p>
        </w:tc>
      </w:tr>
      <w:tr>
        <w:trPr>
          <w:cantSplit/>
        </w:trPr>
        <w:tc>
          <w:tcPr>
            <w:tcW w:type="dxa" w:w="1260"/>
            <w:vAlign w:val="center"/>
          </w:tcPr>
          <w:p>
            <w:r>
              <w:rPr>
                <w:sz w:val="13"/>
              </w:rPr>
              <w:t>10</w:t>
            </w:r>
          </w:p>
        </w:tc>
        <w:tc>
          <w:tcPr>
            <w:tcW w:type="dxa" w:w="1260"/>
            <w:vAlign w:val="center"/>
          </w:tcPr>
          <w:p>
            <w:r>
              <w:rPr>
                <w:sz w:val="13"/>
              </w:rPr>
              <w:t>RIDEXAGM</w:t>
            </w:r>
          </w:p>
        </w:tc>
        <w:tc>
          <w:tcPr>
            <w:tcW w:type="dxa" w:w="1260"/>
            <w:vAlign w:val="center"/>
          </w:tcPr>
          <w:p>
            <w:r>
              <w:rPr>
                <w:sz w:val="13"/>
              </w:rPr>
              <w:t>float64</w:t>
            </w:r>
          </w:p>
        </w:tc>
        <w:tc>
          <w:tcPr>
            <w:tcW w:type="dxa" w:w="1260"/>
            <w:vAlign w:val="center"/>
          </w:tcPr>
          <w:p>
            <w:r>
              <w:rPr>
                <w:sz w:val="13"/>
              </w:rPr>
              <w:t>2,787</w:t>
            </w:r>
          </w:p>
        </w:tc>
        <w:tc>
          <w:tcPr>
            <w:tcW w:type="dxa" w:w="1260"/>
            <w:vAlign w:val="center"/>
          </w:tcPr>
          <w:p>
            <w:r>
              <w:rPr>
                <w:sz w:val="13"/>
              </w:rPr>
              <w:t>9,146</w:t>
            </w:r>
          </w:p>
        </w:tc>
        <w:tc>
          <w:tcPr>
            <w:tcW w:type="dxa" w:w="1260"/>
            <w:vAlign w:val="center"/>
          </w:tcPr>
          <w:p>
            <w:r>
              <w:rPr>
                <w:sz w:val="13"/>
              </w:rPr>
              <w:t>76.64%</w:t>
            </w:r>
          </w:p>
        </w:tc>
        <w:tc>
          <w:tcPr>
            <w:tcW w:type="dxa" w:w="1260"/>
            <w:vAlign w:val="center"/>
          </w:tcPr>
          <w:p>
            <w:r>
              <w:rPr>
                <w:sz w:val="13"/>
              </w:rPr>
              <w:t>240</w:t>
            </w:r>
          </w:p>
        </w:tc>
        <w:tc>
          <w:tcPr>
            <w:tcW w:type="dxa" w:w="1260"/>
            <w:vAlign w:val="center"/>
          </w:tcPr>
          <w:p>
            <w:r>
              <w:rPr>
                <w:sz w:val="13"/>
              </w:rPr>
              <w:t>71.000</w:t>
            </w:r>
          </w:p>
        </w:tc>
      </w:tr>
      <w:tr>
        <w:trPr>
          <w:cantSplit/>
        </w:trPr>
        <w:tc>
          <w:tcPr>
            <w:tcW w:type="dxa" w:w="1260"/>
            <w:vAlign w:val="center"/>
          </w:tcPr>
          <w:p>
            <w:r>
              <w:rPr>
                <w:sz w:val="13"/>
              </w:rPr>
              <w:t>11</w:t>
            </w:r>
          </w:p>
        </w:tc>
        <w:tc>
          <w:tcPr>
            <w:tcW w:type="dxa" w:w="1260"/>
            <w:vAlign w:val="center"/>
          </w:tcPr>
          <w:p>
            <w:r>
              <w:rPr>
                <w:sz w:val="13"/>
              </w:rPr>
              <w:t>DMQMILIZ</w:t>
            </w:r>
          </w:p>
        </w:tc>
        <w:tc>
          <w:tcPr>
            <w:tcW w:type="dxa" w:w="1260"/>
            <w:vAlign w:val="center"/>
          </w:tcPr>
          <w:p>
            <w:r>
              <w:rPr>
                <w:sz w:val="13"/>
              </w:rPr>
              <w:t>float64</w:t>
            </w:r>
          </w:p>
        </w:tc>
        <w:tc>
          <w:tcPr>
            <w:tcW w:type="dxa" w:w="1260"/>
            <w:vAlign w:val="center"/>
          </w:tcPr>
          <w:p>
            <w:r>
              <w:rPr>
                <w:sz w:val="13"/>
              </w:rPr>
              <w:t>8,301</w:t>
            </w:r>
          </w:p>
        </w:tc>
        <w:tc>
          <w:tcPr>
            <w:tcW w:type="dxa" w:w="1260"/>
            <w:vAlign w:val="center"/>
          </w:tcPr>
          <w:p>
            <w:r>
              <w:rPr>
                <w:sz w:val="13"/>
              </w:rPr>
              <w:t>3,632</w:t>
            </w:r>
          </w:p>
        </w:tc>
        <w:tc>
          <w:tcPr>
            <w:tcW w:type="dxa" w:w="1260"/>
            <w:vAlign w:val="center"/>
          </w:tcPr>
          <w:p>
            <w:r>
              <w:rPr>
                <w:sz w:val="13"/>
              </w:rPr>
              <w:t>30.44%</w:t>
            </w:r>
          </w:p>
        </w:tc>
        <w:tc>
          <w:tcPr>
            <w:tcW w:type="dxa" w:w="1260"/>
            <w:vAlign w:val="center"/>
          </w:tcPr>
          <w:p>
            <w:r>
              <w:rPr>
                <w:sz w:val="13"/>
              </w:rPr>
              <w:t>3</w:t>
            </w:r>
          </w:p>
        </w:tc>
        <w:tc>
          <w:tcPr>
            <w:tcW w:type="dxa" w:w="1260"/>
            <w:vAlign w:val="center"/>
          </w:tcPr>
          <w:p>
            <w:r>
              <w:rPr>
                <w:sz w:val="13"/>
              </w:rPr>
              <w:t>2.000</w:t>
            </w:r>
          </w:p>
        </w:tc>
      </w:tr>
      <w:tr>
        <w:trPr>
          <w:cantSplit/>
        </w:trPr>
        <w:tc>
          <w:tcPr>
            <w:tcW w:type="dxa" w:w="1260"/>
            <w:vAlign w:val="center"/>
          </w:tcPr>
          <w:p>
            <w:r>
              <w:rPr>
                <w:sz w:val="13"/>
              </w:rPr>
              <w:t>12</w:t>
            </w:r>
          </w:p>
        </w:tc>
        <w:tc>
          <w:tcPr>
            <w:tcW w:type="dxa" w:w="1260"/>
            <w:vAlign w:val="center"/>
          </w:tcPr>
          <w:p>
            <w:r>
              <w:rPr>
                <w:sz w:val="13"/>
              </w:rPr>
              <w:t>DMDBORN4</w:t>
            </w:r>
          </w:p>
        </w:tc>
        <w:tc>
          <w:tcPr>
            <w:tcW w:type="dxa" w:w="1260"/>
            <w:vAlign w:val="center"/>
          </w:tcPr>
          <w:p>
            <w:r>
              <w:rPr>
                <w:sz w:val="13"/>
              </w:rPr>
              <w:t>float64</w:t>
            </w:r>
          </w:p>
        </w:tc>
        <w:tc>
          <w:tcPr>
            <w:tcW w:type="dxa" w:w="1260"/>
            <w:vAlign w:val="center"/>
          </w:tcPr>
          <w:p>
            <w:r>
              <w:rPr>
                <w:sz w:val="13"/>
              </w:rPr>
              <w:t>11,914</w:t>
            </w:r>
          </w:p>
        </w:tc>
        <w:tc>
          <w:tcPr>
            <w:tcW w:type="dxa" w:w="1260"/>
            <w:vAlign w:val="center"/>
          </w:tcPr>
          <w:p>
            <w:r>
              <w:rPr>
                <w:sz w:val="13"/>
              </w:rPr>
              <w:t>19</w:t>
            </w:r>
          </w:p>
        </w:tc>
        <w:tc>
          <w:tcPr>
            <w:tcW w:type="dxa" w:w="1260"/>
            <w:vAlign w:val="center"/>
          </w:tcPr>
          <w:p>
            <w:r>
              <w:rPr>
                <w:sz w:val="13"/>
              </w:rPr>
              <w:t>0.16%</w:t>
            </w:r>
          </w:p>
        </w:tc>
        <w:tc>
          <w:tcPr>
            <w:tcW w:type="dxa" w:w="1260"/>
            <w:vAlign w:val="center"/>
          </w:tcPr>
          <w:p>
            <w:r>
              <w:rPr>
                <w:sz w:val="13"/>
              </w:rPr>
              <w:t>2</w:t>
            </w:r>
          </w:p>
        </w:tc>
        <w:tc>
          <w:tcPr>
            <w:tcW w:type="dxa" w:w="1260"/>
            <w:vAlign w:val="center"/>
          </w:tcPr>
          <w:p>
            <w:r>
              <w:rPr>
                <w:sz w:val="13"/>
              </w:rPr>
              <w:t>2.000</w:t>
            </w:r>
          </w:p>
        </w:tc>
      </w:tr>
      <w:tr>
        <w:trPr>
          <w:cantSplit/>
        </w:trPr>
        <w:tc>
          <w:tcPr>
            <w:tcW w:type="dxa" w:w="1260"/>
            <w:vAlign w:val="center"/>
          </w:tcPr>
          <w:p>
            <w:r>
              <w:rPr>
                <w:sz w:val="13"/>
              </w:rPr>
              <w:t>13</w:t>
            </w:r>
          </w:p>
        </w:tc>
        <w:tc>
          <w:tcPr>
            <w:tcW w:type="dxa" w:w="1260"/>
            <w:vAlign w:val="center"/>
          </w:tcPr>
          <w:p>
            <w:r>
              <w:rPr>
                <w:sz w:val="13"/>
              </w:rPr>
              <w:t>DMDYRUSR</w:t>
            </w:r>
          </w:p>
        </w:tc>
        <w:tc>
          <w:tcPr>
            <w:tcW w:type="dxa" w:w="1260"/>
            <w:vAlign w:val="center"/>
          </w:tcPr>
          <w:p>
            <w:r>
              <w:rPr>
                <w:sz w:val="13"/>
              </w:rPr>
              <w:t>float64</w:t>
            </w:r>
          </w:p>
        </w:tc>
        <w:tc>
          <w:tcPr>
            <w:tcW w:type="dxa" w:w="1260"/>
            <w:vAlign w:val="center"/>
          </w:tcPr>
          <w:p>
            <w:r>
              <w:rPr>
                <w:sz w:val="13"/>
              </w:rPr>
              <w:t>1,875</w:t>
            </w:r>
          </w:p>
        </w:tc>
        <w:tc>
          <w:tcPr>
            <w:tcW w:type="dxa" w:w="1260"/>
            <w:vAlign w:val="center"/>
          </w:tcPr>
          <w:p>
            <w:r>
              <w:rPr>
                <w:sz w:val="13"/>
              </w:rPr>
              <w:t>10,058</w:t>
            </w:r>
          </w:p>
        </w:tc>
        <w:tc>
          <w:tcPr>
            <w:tcW w:type="dxa" w:w="1260"/>
            <w:vAlign w:val="center"/>
          </w:tcPr>
          <w:p>
            <w:r>
              <w:rPr>
                <w:sz w:val="13"/>
              </w:rPr>
              <w:t>84.29%</w:t>
            </w:r>
          </w:p>
        </w:tc>
        <w:tc>
          <w:tcPr>
            <w:tcW w:type="dxa" w:w="1260"/>
            <w:vAlign w:val="center"/>
          </w:tcPr>
          <w:p>
            <w:r>
              <w:rPr>
                <w:sz w:val="13"/>
              </w:rPr>
              <w:t>8</w:t>
            </w:r>
          </w:p>
        </w:tc>
        <w:tc>
          <w:tcPr>
            <w:tcW w:type="dxa" w:w="1260"/>
            <w:vAlign w:val="center"/>
          </w:tcPr>
          <w:p>
            <w:r>
              <w:rPr>
                <w:sz w:val="13"/>
              </w:rPr>
              <w:t>6.000</w:t>
            </w:r>
          </w:p>
        </w:tc>
      </w:tr>
      <w:tr>
        <w:trPr>
          <w:cantSplit/>
        </w:trPr>
        <w:tc>
          <w:tcPr>
            <w:tcW w:type="dxa" w:w="1260"/>
            <w:vAlign w:val="center"/>
          </w:tcPr>
          <w:p>
            <w:r>
              <w:rPr>
                <w:sz w:val="13"/>
              </w:rPr>
              <w:t>14</w:t>
            </w:r>
          </w:p>
        </w:tc>
        <w:tc>
          <w:tcPr>
            <w:tcW w:type="dxa" w:w="1260"/>
            <w:vAlign w:val="center"/>
          </w:tcPr>
          <w:p>
            <w:r>
              <w:rPr>
                <w:sz w:val="13"/>
              </w:rPr>
              <w:t>DMDEDUC2</w:t>
            </w:r>
          </w:p>
        </w:tc>
        <w:tc>
          <w:tcPr>
            <w:tcW w:type="dxa" w:w="1260"/>
            <w:vAlign w:val="center"/>
          </w:tcPr>
          <w:p>
            <w:r>
              <w:rPr>
                <w:sz w:val="13"/>
              </w:rPr>
              <w:t>float64</w:t>
            </w:r>
          </w:p>
        </w:tc>
        <w:tc>
          <w:tcPr>
            <w:tcW w:type="dxa" w:w="1260"/>
            <w:vAlign w:val="center"/>
          </w:tcPr>
          <w:p>
            <w:r>
              <w:rPr>
                <w:sz w:val="13"/>
              </w:rPr>
              <w:t>7,794</w:t>
            </w:r>
          </w:p>
        </w:tc>
        <w:tc>
          <w:tcPr>
            <w:tcW w:type="dxa" w:w="1260"/>
            <w:vAlign w:val="center"/>
          </w:tcPr>
          <w:p>
            <w:r>
              <w:rPr>
                <w:sz w:val="13"/>
              </w:rPr>
              <w:t>4,139</w:t>
            </w:r>
          </w:p>
        </w:tc>
        <w:tc>
          <w:tcPr>
            <w:tcW w:type="dxa" w:w="1260"/>
            <w:vAlign w:val="center"/>
          </w:tcPr>
          <w:p>
            <w:r>
              <w:rPr>
                <w:sz w:val="13"/>
              </w:rPr>
              <w:t>34.69%</w:t>
            </w:r>
          </w:p>
        </w:tc>
        <w:tc>
          <w:tcPr>
            <w:tcW w:type="dxa" w:w="1260"/>
            <w:vAlign w:val="center"/>
          </w:tcPr>
          <w:p>
            <w:r>
              <w:rPr>
                <w:sz w:val="13"/>
              </w:rPr>
              <w:t>6</w:t>
            </w:r>
          </w:p>
        </w:tc>
        <w:tc>
          <w:tcPr>
            <w:tcW w:type="dxa" w:w="1260"/>
            <w:vAlign w:val="center"/>
          </w:tcPr>
          <w:p>
            <w:r>
              <w:rPr>
                <w:sz w:val="13"/>
              </w:rPr>
              <w:t>5.000</w:t>
            </w:r>
          </w:p>
        </w:tc>
      </w:tr>
      <w:tr>
        <w:trPr>
          <w:cantSplit/>
        </w:trPr>
        <w:tc>
          <w:tcPr>
            <w:tcW w:type="dxa" w:w="1260"/>
            <w:vAlign w:val="center"/>
          </w:tcPr>
          <w:p>
            <w:r>
              <w:rPr>
                <w:sz w:val="13"/>
              </w:rPr>
              <w:t>15</w:t>
            </w:r>
          </w:p>
        </w:tc>
        <w:tc>
          <w:tcPr>
            <w:tcW w:type="dxa" w:w="1260"/>
            <w:vAlign w:val="center"/>
          </w:tcPr>
          <w:p>
            <w:r>
              <w:rPr>
                <w:sz w:val="13"/>
              </w:rPr>
              <w:t>DMDMARTZ</w:t>
            </w:r>
          </w:p>
        </w:tc>
        <w:tc>
          <w:tcPr>
            <w:tcW w:type="dxa" w:w="1260"/>
            <w:vAlign w:val="center"/>
          </w:tcPr>
          <w:p>
            <w:r>
              <w:rPr>
                <w:sz w:val="13"/>
              </w:rPr>
              <w:t>float64</w:t>
            </w:r>
          </w:p>
        </w:tc>
        <w:tc>
          <w:tcPr>
            <w:tcW w:type="dxa" w:w="1260"/>
            <w:vAlign w:val="center"/>
          </w:tcPr>
          <w:p>
            <w:r>
              <w:rPr>
                <w:sz w:val="13"/>
              </w:rPr>
              <w:t>7,792</w:t>
            </w:r>
          </w:p>
        </w:tc>
        <w:tc>
          <w:tcPr>
            <w:tcW w:type="dxa" w:w="1260"/>
            <w:vAlign w:val="center"/>
          </w:tcPr>
          <w:p>
            <w:r>
              <w:rPr>
                <w:sz w:val="13"/>
              </w:rPr>
              <w:t>4,141</w:t>
            </w:r>
          </w:p>
        </w:tc>
        <w:tc>
          <w:tcPr>
            <w:tcW w:type="dxa" w:w="1260"/>
            <w:vAlign w:val="center"/>
          </w:tcPr>
          <w:p>
            <w:r>
              <w:rPr>
                <w:sz w:val="13"/>
              </w:rPr>
              <w:t>34.70%</w:t>
            </w:r>
          </w:p>
        </w:tc>
        <w:tc>
          <w:tcPr>
            <w:tcW w:type="dxa" w:w="1260"/>
            <w:vAlign w:val="center"/>
          </w:tcPr>
          <w:p>
            <w:r>
              <w:rPr>
                <w:sz w:val="13"/>
              </w:rPr>
              <w:t>5</w:t>
            </w:r>
          </w:p>
        </w:tc>
        <w:tc>
          <w:tcPr>
            <w:tcW w:type="dxa" w:w="1260"/>
            <w:vAlign w:val="center"/>
          </w:tcPr>
          <w:p>
            <w:r>
              <w:rPr>
                <w:sz w:val="13"/>
              </w:rPr>
              <w:t>1.000</w:t>
            </w:r>
          </w:p>
        </w:tc>
      </w:tr>
      <w:tr>
        <w:trPr>
          <w:cantSplit/>
        </w:trPr>
        <w:tc>
          <w:tcPr>
            <w:tcW w:type="dxa" w:w="1260"/>
            <w:vAlign w:val="center"/>
          </w:tcPr>
          <w:p>
            <w:r>
              <w:rPr>
                <w:sz w:val="13"/>
              </w:rPr>
              <w:t>16</w:t>
            </w:r>
          </w:p>
        </w:tc>
        <w:tc>
          <w:tcPr>
            <w:tcW w:type="dxa" w:w="1260"/>
            <w:vAlign w:val="center"/>
          </w:tcPr>
          <w:p>
            <w:r>
              <w:rPr>
                <w:sz w:val="13"/>
              </w:rPr>
              <w:t>RIDEXPRG</w:t>
            </w:r>
          </w:p>
        </w:tc>
        <w:tc>
          <w:tcPr>
            <w:tcW w:type="dxa" w:w="1260"/>
            <w:vAlign w:val="center"/>
          </w:tcPr>
          <w:p>
            <w:r>
              <w:rPr>
                <w:sz w:val="13"/>
              </w:rPr>
              <w:t>float64</w:t>
            </w:r>
          </w:p>
        </w:tc>
        <w:tc>
          <w:tcPr>
            <w:tcW w:type="dxa" w:w="1260"/>
            <w:vAlign w:val="center"/>
          </w:tcPr>
          <w:p>
            <w:r>
              <w:rPr>
                <w:sz w:val="13"/>
              </w:rPr>
              <w:t>1,503</w:t>
            </w:r>
          </w:p>
        </w:tc>
        <w:tc>
          <w:tcPr>
            <w:tcW w:type="dxa" w:w="1260"/>
            <w:vAlign w:val="center"/>
          </w:tcPr>
          <w:p>
            <w:r>
              <w:rPr>
                <w:sz w:val="13"/>
              </w:rPr>
              <w:t>10,430</w:t>
            </w:r>
          </w:p>
        </w:tc>
        <w:tc>
          <w:tcPr>
            <w:tcW w:type="dxa" w:w="1260"/>
            <w:vAlign w:val="center"/>
          </w:tcPr>
          <w:p>
            <w:r>
              <w:rPr>
                <w:sz w:val="13"/>
              </w:rPr>
              <w:t>87.40%</w:t>
            </w:r>
          </w:p>
        </w:tc>
        <w:tc>
          <w:tcPr>
            <w:tcW w:type="dxa" w:w="1260"/>
            <w:vAlign w:val="center"/>
          </w:tcPr>
          <w:p>
            <w:r>
              <w:rPr>
                <w:sz w:val="13"/>
              </w:rPr>
              <w:t>3</w:t>
            </w:r>
          </w:p>
        </w:tc>
        <w:tc>
          <w:tcPr>
            <w:tcW w:type="dxa" w:w="1260"/>
            <w:vAlign w:val="center"/>
          </w:tcPr>
          <w:p>
            <w:r>
              <w:rPr>
                <w:sz w:val="13"/>
              </w:rPr>
              <w:t>2.000</w:t>
            </w:r>
          </w:p>
        </w:tc>
      </w:tr>
      <w:tr>
        <w:trPr>
          <w:cantSplit/>
        </w:trPr>
        <w:tc>
          <w:tcPr>
            <w:tcW w:type="dxa" w:w="1260"/>
            <w:vAlign w:val="center"/>
          </w:tcPr>
          <w:p>
            <w:r>
              <w:rPr>
                <w:sz w:val="13"/>
              </w:rPr>
              <w:t>17</w:t>
            </w:r>
          </w:p>
        </w:tc>
        <w:tc>
          <w:tcPr>
            <w:tcW w:type="dxa" w:w="1260"/>
            <w:vAlign w:val="center"/>
          </w:tcPr>
          <w:p>
            <w:r>
              <w:rPr>
                <w:sz w:val="13"/>
              </w:rPr>
              <w:t>DMDHHSIZ</w:t>
            </w:r>
          </w:p>
        </w:tc>
        <w:tc>
          <w:tcPr>
            <w:tcW w:type="dxa" w:w="1260"/>
            <w:vAlign w:val="center"/>
          </w:tcPr>
          <w:p>
            <w:r>
              <w:rPr>
                <w:sz w:val="13"/>
              </w:rPr>
              <w:t>float64</w:t>
            </w:r>
          </w:p>
        </w:tc>
        <w:tc>
          <w:tcPr>
            <w:tcW w:type="dxa" w:w="1260"/>
            <w:vAlign w:val="center"/>
          </w:tcPr>
          <w:p>
            <w:r>
              <w:rPr>
                <w:sz w:val="13"/>
              </w:rPr>
              <w:t>11,933</w:t>
            </w:r>
          </w:p>
        </w:tc>
        <w:tc>
          <w:tcPr>
            <w:tcW w:type="dxa" w:w="1260"/>
            <w:vAlign w:val="center"/>
          </w:tcPr>
          <w:p>
            <w:r>
              <w:rPr>
                <w:sz w:val="13"/>
              </w:rPr>
              <w:t>0</w:t>
            </w:r>
          </w:p>
        </w:tc>
        <w:tc>
          <w:tcPr>
            <w:tcW w:type="dxa" w:w="1260"/>
            <w:vAlign w:val="center"/>
          </w:tcPr>
          <w:p>
            <w:r>
              <w:rPr>
                <w:sz w:val="13"/>
              </w:rPr>
              <w:t>0.00%</w:t>
            </w:r>
          </w:p>
        </w:tc>
        <w:tc>
          <w:tcPr>
            <w:tcW w:type="dxa" w:w="1260"/>
            <w:vAlign w:val="center"/>
          </w:tcPr>
          <w:p>
            <w:r>
              <w:rPr>
                <w:sz w:val="13"/>
              </w:rPr>
              <w:t>7</w:t>
            </w:r>
          </w:p>
        </w:tc>
        <w:tc>
          <w:tcPr>
            <w:tcW w:type="dxa" w:w="1260"/>
            <w:vAlign w:val="center"/>
          </w:tcPr>
          <w:p>
            <w:r>
              <w:rPr>
                <w:sz w:val="13"/>
              </w:rPr>
              <w:t>4.000</w:t>
            </w:r>
          </w:p>
        </w:tc>
      </w:tr>
      <w:tr>
        <w:trPr>
          <w:cantSplit/>
        </w:trPr>
        <w:tc>
          <w:tcPr>
            <w:tcW w:type="dxa" w:w="1260"/>
            <w:vAlign w:val="center"/>
          </w:tcPr>
          <w:p>
            <w:r>
              <w:rPr>
                <w:sz w:val="13"/>
              </w:rPr>
              <w:t>18</w:t>
            </w:r>
          </w:p>
        </w:tc>
        <w:tc>
          <w:tcPr>
            <w:tcW w:type="dxa" w:w="1260"/>
            <w:vAlign w:val="center"/>
          </w:tcPr>
          <w:p>
            <w:r>
              <w:rPr>
                <w:sz w:val="13"/>
              </w:rPr>
              <w:t>DMDHRGND</w:t>
            </w:r>
          </w:p>
        </w:tc>
        <w:tc>
          <w:tcPr>
            <w:tcW w:type="dxa" w:w="1260"/>
            <w:vAlign w:val="center"/>
          </w:tcPr>
          <w:p>
            <w:r>
              <w:rPr>
                <w:sz w:val="13"/>
              </w:rPr>
              <w:t>float64</w:t>
            </w:r>
          </w:p>
        </w:tc>
        <w:tc>
          <w:tcPr>
            <w:tcW w:type="dxa" w:w="1260"/>
            <w:vAlign w:val="center"/>
          </w:tcPr>
          <w:p>
            <w:r>
              <w:rPr>
                <w:sz w:val="13"/>
              </w:rPr>
              <w:t>4,115</w:t>
            </w:r>
          </w:p>
        </w:tc>
        <w:tc>
          <w:tcPr>
            <w:tcW w:type="dxa" w:w="1260"/>
            <w:vAlign w:val="center"/>
          </w:tcPr>
          <w:p>
            <w:r>
              <w:rPr>
                <w:sz w:val="13"/>
              </w:rPr>
              <w:t>7,818</w:t>
            </w:r>
          </w:p>
        </w:tc>
        <w:tc>
          <w:tcPr>
            <w:tcW w:type="dxa" w:w="1260"/>
            <w:vAlign w:val="center"/>
          </w:tcPr>
          <w:p>
            <w:r>
              <w:rPr>
                <w:sz w:val="13"/>
              </w:rPr>
              <w:t>65.52%</w:t>
            </w:r>
          </w:p>
        </w:tc>
        <w:tc>
          <w:tcPr>
            <w:tcW w:type="dxa" w:w="1260"/>
            <w:vAlign w:val="center"/>
          </w:tcPr>
          <w:p>
            <w:r>
              <w:rPr>
                <w:sz w:val="13"/>
              </w:rPr>
              <w:t>2</w:t>
            </w:r>
          </w:p>
        </w:tc>
        <w:tc>
          <w:tcPr>
            <w:tcW w:type="dxa" w:w="1260"/>
            <w:vAlign w:val="center"/>
          </w:tcPr>
          <w:p>
            <w:r>
              <w:rPr>
                <w:sz w:val="13"/>
              </w:rPr>
              <w:t>2.000</w:t>
            </w:r>
          </w:p>
        </w:tc>
      </w:tr>
      <w:tr>
        <w:trPr>
          <w:cantSplit/>
        </w:trPr>
        <w:tc>
          <w:tcPr>
            <w:tcW w:type="dxa" w:w="1260"/>
            <w:vAlign w:val="center"/>
          </w:tcPr>
          <w:p>
            <w:r>
              <w:rPr>
                <w:sz w:val="13"/>
              </w:rPr>
              <w:t>19</w:t>
            </w:r>
          </w:p>
        </w:tc>
        <w:tc>
          <w:tcPr>
            <w:tcW w:type="dxa" w:w="1260"/>
            <w:vAlign w:val="center"/>
          </w:tcPr>
          <w:p>
            <w:r>
              <w:rPr>
                <w:sz w:val="13"/>
              </w:rPr>
              <w:t>DMDHRAGZ</w:t>
            </w:r>
          </w:p>
        </w:tc>
        <w:tc>
          <w:tcPr>
            <w:tcW w:type="dxa" w:w="1260"/>
            <w:vAlign w:val="center"/>
          </w:tcPr>
          <w:p>
            <w:r>
              <w:rPr>
                <w:sz w:val="13"/>
              </w:rPr>
              <w:t>float64</w:t>
            </w:r>
          </w:p>
        </w:tc>
        <w:tc>
          <w:tcPr>
            <w:tcW w:type="dxa" w:w="1260"/>
            <w:vAlign w:val="center"/>
          </w:tcPr>
          <w:p>
            <w:r>
              <w:rPr>
                <w:sz w:val="13"/>
              </w:rPr>
              <w:t>4,124</w:t>
            </w:r>
          </w:p>
        </w:tc>
        <w:tc>
          <w:tcPr>
            <w:tcW w:type="dxa" w:w="1260"/>
            <w:vAlign w:val="center"/>
          </w:tcPr>
          <w:p>
            <w:r>
              <w:rPr>
                <w:sz w:val="13"/>
              </w:rPr>
              <w:t>7,809</w:t>
            </w:r>
          </w:p>
        </w:tc>
        <w:tc>
          <w:tcPr>
            <w:tcW w:type="dxa" w:w="1260"/>
            <w:vAlign w:val="center"/>
          </w:tcPr>
          <w:p>
            <w:r>
              <w:rPr>
                <w:sz w:val="13"/>
              </w:rPr>
              <w:t>65.44%</w:t>
            </w:r>
          </w:p>
        </w:tc>
        <w:tc>
          <w:tcPr>
            <w:tcW w:type="dxa" w:w="1260"/>
            <w:vAlign w:val="center"/>
          </w:tcPr>
          <w:p>
            <w:r>
              <w:rPr>
                <w:sz w:val="13"/>
              </w:rPr>
              <w:t>4</w:t>
            </w:r>
          </w:p>
        </w:tc>
        <w:tc>
          <w:tcPr>
            <w:tcW w:type="dxa" w:w="1260"/>
            <w:vAlign w:val="center"/>
          </w:tcPr>
          <w:p>
            <w:r>
              <w:rPr>
                <w:sz w:val="13"/>
              </w:rPr>
              <w:t>2.000</w:t>
            </w:r>
          </w:p>
        </w:tc>
      </w:tr>
      <w:tr>
        <w:trPr>
          <w:cantSplit/>
        </w:trPr>
        <w:tc>
          <w:tcPr>
            <w:tcW w:type="dxa" w:w="1260"/>
            <w:vAlign w:val="center"/>
          </w:tcPr>
          <w:p>
            <w:r>
              <w:rPr>
                <w:sz w:val="13"/>
              </w:rPr>
              <w:t>20</w:t>
            </w:r>
          </w:p>
        </w:tc>
        <w:tc>
          <w:tcPr>
            <w:tcW w:type="dxa" w:w="1260"/>
            <w:vAlign w:val="center"/>
          </w:tcPr>
          <w:p>
            <w:r>
              <w:rPr>
                <w:sz w:val="13"/>
              </w:rPr>
              <w:t>DMDHREDZ</w:t>
            </w:r>
          </w:p>
        </w:tc>
        <w:tc>
          <w:tcPr>
            <w:tcW w:type="dxa" w:w="1260"/>
            <w:vAlign w:val="center"/>
          </w:tcPr>
          <w:p>
            <w:r>
              <w:rPr>
                <w:sz w:val="13"/>
              </w:rPr>
              <w:t>float64</w:t>
            </w:r>
          </w:p>
        </w:tc>
        <w:tc>
          <w:tcPr>
            <w:tcW w:type="dxa" w:w="1260"/>
            <w:vAlign w:val="center"/>
          </w:tcPr>
          <w:p>
            <w:r>
              <w:rPr>
                <w:sz w:val="13"/>
              </w:rPr>
              <w:t>3,746</w:t>
            </w:r>
          </w:p>
        </w:tc>
        <w:tc>
          <w:tcPr>
            <w:tcW w:type="dxa" w:w="1260"/>
            <w:vAlign w:val="center"/>
          </w:tcPr>
          <w:p>
            <w:r>
              <w:rPr>
                <w:sz w:val="13"/>
              </w:rPr>
              <w:t>8,187</w:t>
            </w:r>
          </w:p>
        </w:tc>
        <w:tc>
          <w:tcPr>
            <w:tcW w:type="dxa" w:w="1260"/>
            <w:vAlign w:val="center"/>
          </w:tcPr>
          <w:p>
            <w:r>
              <w:rPr>
                <w:sz w:val="13"/>
              </w:rPr>
              <w:t>68.61%</w:t>
            </w:r>
          </w:p>
        </w:tc>
        <w:tc>
          <w:tcPr>
            <w:tcW w:type="dxa" w:w="1260"/>
            <w:vAlign w:val="center"/>
          </w:tcPr>
          <w:p>
            <w:r>
              <w:rPr>
                <w:sz w:val="13"/>
              </w:rPr>
              <w:t>3</w:t>
            </w:r>
          </w:p>
        </w:tc>
        <w:tc>
          <w:tcPr>
            <w:tcW w:type="dxa" w:w="1260"/>
            <w:vAlign w:val="center"/>
          </w:tcPr>
          <w:p>
            <w:r>
              <w:rPr>
                <w:sz w:val="13"/>
              </w:rPr>
              <w:t>2.000</w:t>
            </w:r>
          </w:p>
        </w:tc>
      </w:tr>
      <w:tr>
        <w:trPr>
          <w:cantSplit/>
        </w:trPr>
        <w:tc>
          <w:tcPr>
            <w:tcW w:type="dxa" w:w="1260"/>
            <w:vAlign w:val="center"/>
          </w:tcPr>
          <w:p>
            <w:r>
              <w:rPr>
                <w:sz w:val="13"/>
              </w:rPr>
              <w:t>21</w:t>
            </w:r>
          </w:p>
        </w:tc>
        <w:tc>
          <w:tcPr>
            <w:tcW w:type="dxa" w:w="1260"/>
            <w:vAlign w:val="center"/>
          </w:tcPr>
          <w:p>
            <w:r>
              <w:rPr>
                <w:sz w:val="13"/>
              </w:rPr>
              <w:t>DMDHRMAZ</w:t>
            </w:r>
          </w:p>
        </w:tc>
        <w:tc>
          <w:tcPr>
            <w:tcW w:type="dxa" w:w="1260"/>
            <w:vAlign w:val="center"/>
          </w:tcPr>
          <w:p>
            <w:r>
              <w:rPr>
                <w:sz w:val="13"/>
              </w:rPr>
              <w:t>float64</w:t>
            </w:r>
          </w:p>
        </w:tc>
        <w:tc>
          <w:tcPr>
            <w:tcW w:type="dxa" w:w="1260"/>
            <w:vAlign w:val="center"/>
          </w:tcPr>
          <w:p>
            <w:r>
              <w:rPr>
                <w:sz w:val="13"/>
              </w:rPr>
              <w:t>4,020</w:t>
            </w:r>
          </w:p>
        </w:tc>
        <w:tc>
          <w:tcPr>
            <w:tcW w:type="dxa" w:w="1260"/>
            <w:vAlign w:val="center"/>
          </w:tcPr>
          <w:p>
            <w:r>
              <w:rPr>
                <w:sz w:val="13"/>
              </w:rPr>
              <w:t>7,913</w:t>
            </w:r>
          </w:p>
        </w:tc>
        <w:tc>
          <w:tcPr>
            <w:tcW w:type="dxa" w:w="1260"/>
            <w:vAlign w:val="center"/>
          </w:tcPr>
          <w:p>
            <w:r>
              <w:rPr>
                <w:sz w:val="13"/>
              </w:rPr>
              <w:t>66.31%</w:t>
            </w:r>
          </w:p>
        </w:tc>
        <w:tc>
          <w:tcPr>
            <w:tcW w:type="dxa" w:w="1260"/>
            <w:vAlign w:val="center"/>
          </w:tcPr>
          <w:p>
            <w:r>
              <w:rPr>
                <w:sz w:val="13"/>
              </w:rPr>
              <w:t>3</w:t>
            </w:r>
          </w:p>
        </w:tc>
        <w:tc>
          <w:tcPr>
            <w:tcW w:type="dxa" w:w="1260"/>
            <w:vAlign w:val="center"/>
          </w:tcPr>
          <w:p>
            <w:r>
              <w:rPr>
                <w:sz w:val="13"/>
              </w:rPr>
              <w:t>3.000</w:t>
            </w:r>
          </w:p>
        </w:tc>
      </w:tr>
      <w:tr>
        <w:trPr>
          <w:cantSplit/>
        </w:trPr>
        <w:tc>
          <w:tcPr>
            <w:tcW w:type="dxa" w:w="1260"/>
            <w:vAlign w:val="center"/>
          </w:tcPr>
          <w:p>
            <w:r>
              <w:rPr>
                <w:sz w:val="13"/>
              </w:rPr>
              <w:t>22</w:t>
            </w:r>
          </w:p>
        </w:tc>
        <w:tc>
          <w:tcPr>
            <w:tcW w:type="dxa" w:w="1260"/>
            <w:vAlign w:val="center"/>
          </w:tcPr>
          <w:p>
            <w:r>
              <w:rPr>
                <w:sz w:val="13"/>
              </w:rPr>
              <w:t>DMDHSEDZ</w:t>
            </w:r>
          </w:p>
        </w:tc>
        <w:tc>
          <w:tcPr>
            <w:tcW w:type="dxa" w:w="1260"/>
            <w:vAlign w:val="center"/>
          </w:tcPr>
          <w:p>
            <w:r>
              <w:rPr>
                <w:sz w:val="13"/>
              </w:rPr>
              <w:t>float64</w:t>
            </w:r>
          </w:p>
        </w:tc>
        <w:tc>
          <w:tcPr>
            <w:tcW w:type="dxa" w:w="1260"/>
            <w:vAlign w:val="center"/>
          </w:tcPr>
          <w:p>
            <w:r>
              <w:rPr>
                <w:sz w:val="13"/>
              </w:rPr>
              <w:t>2,127</w:t>
            </w:r>
          </w:p>
        </w:tc>
        <w:tc>
          <w:tcPr>
            <w:tcW w:type="dxa" w:w="1260"/>
            <w:vAlign w:val="center"/>
          </w:tcPr>
          <w:p>
            <w:r>
              <w:rPr>
                <w:sz w:val="13"/>
              </w:rPr>
              <w:t>9,806</w:t>
            </w:r>
          </w:p>
        </w:tc>
        <w:tc>
          <w:tcPr>
            <w:tcW w:type="dxa" w:w="1260"/>
            <w:vAlign w:val="center"/>
          </w:tcPr>
          <w:p>
            <w:r>
              <w:rPr>
                <w:sz w:val="13"/>
              </w:rPr>
              <w:t>82.18%</w:t>
            </w:r>
          </w:p>
        </w:tc>
        <w:tc>
          <w:tcPr>
            <w:tcW w:type="dxa" w:w="1260"/>
            <w:vAlign w:val="center"/>
          </w:tcPr>
          <w:p>
            <w:r>
              <w:rPr>
                <w:sz w:val="13"/>
              </w:rPr>
              <w:t>3</w:t>
            </w:r>
          </w:p>
        </w:tc>
        <w:tc>
          <w:tcPr>
            <w:tcW w:type="dxa" w:w="1260"/>
            <w:vAlign w:val="center"/>
          </w:tcPr>
          <w:p>
            <w:r>
              <w:rPr>
                <w:sz w:val="13"/>
              </w:rPr>
              <w:t>2.000</w:t>
            </w:r>
          </w:p>
        </w:tc>
      </w:tr>
      <w:tr>
        <w:trPr>
          <w:cantSplit/>
        </w:trPr>
        <w:tc>
          <w:tcPr>
            <w:tcW w:type="dxa" w:w="1260"/>
            <w:vAlign w:val="center"/>
          </w:tcPr>
          <w:p>
            <w:r>
              <w:rPr>
                <w:sz w:val="13"/>
              </w:rPr>
              <w:t>23</w:t>
            </w:r>
          </w:p>
        </w:tc>
        <w:tc>
          <w:tcPr>
            <w:tcW w:type="dxa" w:w="1260"/>
            <w:vAlign w:val="center"/>
          </w:tcPr>
          <w:p>
            <w:r>
              <w:rPr>
                <w:sz w:val="13"/>
              </w:rPr>
              <w:t>WTINT2YR</w:t>
            </w:r>
          </w:p>
        </w:tc>
        <w:tc>
          <w:tcPr>
            <w:tcW w:type="dxa" w:w="1260"/>
            <w:vAlign w:val="center"/>
          </w:tcPr>
          <w:p>
            <w:r>
              <w:rPr>
                <w:sz w:val="13"/>
              </w:rPr>
              <w:t>float64</w:t>
            </w:r>
          </w:p>
        </w:tc>
        <w:tc>
          <w:tcPr>
            <w:tcW w:type="dxa" w:w="1260"/>
            <w:vAlign w:val="center"/>
          </w:tcPr>
          <w:p>
            <w:r>
              <w:rPr>
                <w:sz w:val="13"/>
              </w:rPr>
              <w:t>11,933</w:t>
            </w:r>
          </w:p>
        </w:tc>
        <w:tc>
          <w:tcPr>
            <w:tcW w:type="dxa" w:w="1260"/>
            <w:vAlign w:val="center"/>
          </w:tcPr>
          <w:p>
            <w:r>
              <w:rPr>
                <w:sz w:val="13"/>
              </w:rPr>
              <w:t>0</w:t>
            </w:r>
          </w:p>
        </w:tc>
        <w:tc>
          <w:tcPr>
            <w:tcW w:type="dxa" w:w="1260"/>
            <w:vAlign w:val="center"/>
          </w:tcPr>
          <w:p>
            <w:r>
              <w:rPr>
                <w:sz w:val="13"/>
              </w:rPr>
              <w:t>0.00%</w:t>
            </w:r>
          </w:p>
        </w:tc>
        <w:tc>
          <w:tcPr>
            <w:tcW w:type="dxa" w:w="1260"/>
            <w:vAlign w:val="center"/>
          </w:tcPr>
          <w:p>
            <w:r>
              <w:rPr>
                <w:sz w:val="13"/>
              </w:rPr>
              <w:t>9,821</w:t>
            </w:r>
          </w:p>
        </w:tc>
        <w:tc>
          <w:tcPr>
            <w:tcW w:type="dxa" w:w="1260"/>
            <w:vAlign w:val="center"/>
          </w:tcPr>
          <w:p>
            <w:r>
              <w:rPr>
                <w:sz w:val="13"/>
              </w:rPr>
              <w:t>50055.451</w:t>
            </w:r>
          </w:p>
        </w:tc>
      </w:tr>
      <w:tr>
        <w:trPr>
          <w:cantSplit/>
        </w:trPr>
        <w:tc>
          <w:tcPr>
            <w:tcW w:type="dxa" w:w="1260"/>
            <w:vAlign w:val="center"/>
          </w:tcPr>
          <w:p>
            <w:r>
              <w:rPr>
                <w:sz w:val="13"/>
              </w:rPr>
              <w:t>24</w:t>
            </w:r>
          </w:p>
        </w:tc>
        <w:tc>
          <w:tcPr>
            <w:tcW w:type="dxa" w:w="1260"/>
            <w:vAlign w:val="center"/>
          </w:tcPr>
          <w:p>
            <w:r>
              <w:rPr>
                <w:sz w:val="13"/>
              </w:rPr>
              <w:t>WTMEC2YR</w:t>
            </w:r>
          </w:p>
        </w:tc>
        <w:tc>
          <w:tcPr>
            <w:tcW w:type="dxa" w:w="1260"/>
            <w:vAlign w:val="center"/>
          </w:tcPr>
          <w:p>
            <w:r>
              <w:rPr>
                <w:sz w:val="13"/>
              </w:rPr>
              <w:t>float64</w:t>
            </w:r>
          </w:p>
        </w:tc>
        <w:tc>
          <w:tcPr>
            <w:tcW w:type="dxa" w:w="1260"/>
            <w:vAlign w:val="center"/>
          </w:tcPr>
          <w:p>
            <w:r>
              <w:rPr>
                <w:sz w:val="13"/>
              </w:rPr>
              <w:t>11,933</w:t>
            </w:r>
          </w:p>
        </w:tc>
        <w:tc>
          <w:tcPr>
            <w:tcW w:type="dxa" w:w="1260"/>
            <w:vAlign w:val="center"/>
          </w:tcPr>
          <w:p>
            <w:r>
              <w:rPr>
                <w:sz w:val="13"/>
              </w:rPr>
              <w:t>0</w:t>
            </w:r>
          </w:p>
        </w:tc>
        <w:tc>
          <w:tcPr>
            <w:tcW w:type="dxa" w:w="1260"/>
            <w:vAlign w:val="center"/>
          </w:tcPr>
          <w:p>
            <w:r>
              <w:rPr>
                <w:sz w:val="13"/>
              </w:rPr>
              <w:t>0.00%</w:t>
            </w:r>
          </w:p>
        </w:tc>
        <w:tc>
          <w:tcPr>
            <w:tcW w:type="dxa" w:w="1260"/>
            <w:vAlign w:val="center"/>
          </w:tcPr>
          <w:p>
            <w:r>
              <w:rPr>
                <w:sz w:val="13"/>
              </w:rPr>
              <w:t>8,138</w:t>
            </w:r>
          </w:p>
        </w:tc>
        <w:tc>
          <w:tcPr>
            <w:tcW w:type="dxa" w:w="1260"/>
            <w:vAlign w:val="center"/>
          </w:tcPr>
          <w:p>
            <w:r>
              <w:rPr>
                <w:sz w:val="13"/>
              </w:rPr>
              <w:t>54374.464</w:t>
            </w:r>
          </w:p>
        </w:tc>
      </w:tr>
      <w:tr>
        <w:trPr>
          <w:cantSplit/>
        </w:trPr>
        <w:tc>
          <w:tcPr>
            <w:tcW w:type="dxa" w:w="1260"/>
            <w:vAlign w:val="center"/>
          </w:tcPr>
          <w:p>
            <w:r>
              <w:rPr>
                <w:sz w:val="13"/>
              </w:rPr>
              <w:t>25</w:t>
            </w:r>
          </w:p>
        </w:tc>
        <w:tc>
          <w:tcPr>
            <w:tcW w:type="dxa" w:w="1260"/>
            <w:vAlign w:val="center"/>
          </w:tcPr>
          <w:p>
            <w:r>
              <w:rPr>
                <w:sz w:val="13"/>
              </w:rPr>
              <w:t>SDMVSTRA</w:t>
            </w:r>
          </w:p>
        </w:tc>
        <w:tc>
          <w:tcPr>
            <w:tcW w:type="dxa" w:w="1260"/>
            <w:vAlign w:val="center"/>
          </w:tcPr>
          <w:p>
            <w:r>
              <w:rPr>
                <w:sz w:val="13"/>
              </w:rPr>
              <w:t>float64</w:t>
            </w:r>
          </w:p>
        </w:tc>
        <w:tc>
          <w:tcPr>
            <w:tcW w:type="dxa" w:w="1260"/>
            <w:vAlign w:val="center"/>
          </w:tcPr>
          <w:p>
            <w:r>
              <w:rPr>
                <w:sz w:val="13"/>
              </w:rPr>
              <w:t>11,933</w:t>
            </w:r>
          </w:p>
        </w:tc>
        <w:tc>
          <w:tcPr>
            <w:tcW w:type="dxa" w:w="1260"/>
            <w:vAlign w:val="center"/>
          </w:tcPr>
          <w:p>
            <w:r>
              <w:rPr>
                <w:sz w:val="13"/>
              </w:rPr>
              <w:t>0</w:t>
            </w:r>
          </w:p>
        </w:tc>
        <w:tc>
          <w:tcPr>
            <w:tcW w:type="dxa" w:w="1260"/>
            <w:vAlign w:val="center"/>
          </w:tcPr>
          <w:p>
            <w:r>
              <w:rPr>
                <w:sz w:val="13"/>
              </w:rPr>
              <w:t>0.00%</w:t>
            </w:r>
          </w:p>
        </w:tc>
        <w:tc>
          <w:tcPr>
            <w:tcW w:type="dxa" w:w="1260"/>
            <w:vAlign w:val="center"/>
          </w:tcPr>
          <w:p>
            <w:r>
              <w:rPr>
                <w:sz w:val="13"/>
              </w:rPr>
              <w:t>15</w:t>
            </w:r>
          </w:p>
        </w:tc>
        <w:tc>
          <w:tcPr>
            <w:tcW w:type="dxa" w:w="1260"/>
            <w:vAlign w:val="center"/>
          </w:tcPr>
          <w:p>
            <w:r>
              <w:rPr>
                <w:sz w:val="13"/>
              </w:rPr>
              <w:t>173.000</w:t>
            </w:r>
          </w:p>
        </w:tc>
      </w:tr>
      <w:tr>
        <w:trPr>
          <w:cantSplit/>
        </w:trPr>
        <w:tc>
          <w:tcPr>
            <w:tcW w:type="dxa" w:w="1260"/>
            <w:vAlign w:val="center"/>
          </w:tcPr>
          <w:p>
            <w:r>
              <w:rPr>
                <w:sz w:val="13"/>
              </w:rPr>
              <w:t>26</w:t>
            </w:r>
          </w:p>
        </w:tc>
        <w:tc>
          <w:tcPr>
            <w:tcW w:type="dxa" w:w="1260"/>
            <w:vAlign w:val="center"/>
          </w:tcPr>
          <w:p>
            <w:r>
              <w:rPr>
                <w:sz w:val="13"/>
              </w:rPr>
              <w:t>SDMVPSU</w:t>
            </w:r>
          </w:p>
        </w:tc>
        <w:tc>
          <w:tcPr>
            <w:tcW w:type="dxa" w:w="1260"/>
            <w:vAlign w:val="center"/>
          </w:tcPr>
          <w:p>
            <w:r>
              <w:rPr>
                <w:sz w:val="13"/>
              </w:rPr>
              <w:t>float64</w:t>
            </w:r>
          </w:p>
        </w:tc>
        <w:tc>
          <w:tcPr>
            <w:tcW w:type="dxa" w:w="1260"/>
            <w:vAlign w:val="center"/>
          </w:tcPr>
          <w:p>
            <w:r>
              <w:rPr>
                <w:sz w:val="13"/>
              </w:rPr>
              <w:t>11,933</w:t>
            </w:r>
          </w:p>
        </w:tc>
        <w:tc>
          <w:tcPr>
            <w:tcW w:type="dxa" w:w="1260"/>
            <w:vAlign w:val="center"/>
          </w:tcPr>
          <w:p>
            <w:r>
              <w:rPr>
                <w:sz w:val="13"/>
              </w:rPr>
              <w:t>0</w:t>
            </w:r>
          </w:p>
        </w:tc>
        <w:tc>
          <w:tcPr>
            <w:tcW w:type="dxa" w:w="1260"/>
            <w:vAlign w:val="center"/>
          </w:tcPr>
          <w:p>
            <w:r>
              <w:rPr>
                <w:sz w:val="13"/>
              </w:rPr>
              <w:t>0.00%</w:t>
            </w:r>
          </w:p>
        </w:tc>
        <w:tc>
          <w:tcPr>
            <w:tcW w:type="dxa" w:w="1260"/>
            <w:vAlign w:val="center"/>
          </w:tcPr>
          <w:p>
            <w:r>
              <w:rPr>
                <w:sz w:val="13"/>
              </w:rPr>
              <w:t>2</w:t>
            </w:r>
          </w:p>
        </w:tc>
        <w:tc>
          <w:tcPr>
            <w:tcW w:type="dxa" w:w="1260"/>
            <w:vAlign w:val="center"/>
          </w:tcPr>
          <w:p>
            <w:r>
              <w:rPr>
                <w:sz w:val="13"/>
              </w:rPr>
              <w:t>2.000</w:t>
            </w:r>
          </w:p>
        </w:tc>
      </w:tr>
      <w:tr>
        <w:trPr>
          <w:cantSplit/>
        </w:trPr>
        <w:tc>
          <w:tcPr>
            <w:tcW w:type="dxa" w:w="1260"/>
            <w:vAlign w:val="center"/>
          </w:tcPr>
          <w:p>
            <w:r>
              <w:rPr>
                <w:sz w:val="13"/>
              </w:rPr>
              <w:t>27</w:t>
            </w:r>
          </w:p>
        </w:tc>
        <w:tc>
          <w:tcPr>
            <w:tcW w:type="dxa" w:w="1260"/>
            <w:vAlign w:val="center"/>
          </w:tcPr>
          <w:p>
            <w:r>
              <w:rPr>
                <w:sz w:val="13"/>
              </w:rPr>
              <w:t>INDFMPIR</w:t>
            </w:r>
          </w:p>
        </w:tc>
        <w:tc>
          <w:tcPr>
            <w:tcW w:type="dxa" w:w="1260"/>
            <w:vAlign w:val="center"/>
          </w:tcPr>
          <w:p>
            <w:r>
              <w:rPr>
                <w:sz w:val="13"/>
              </w:rPr>
              <w:t>float64</w:t>
            </w:r>
          </w:p>
        </w:tc>
        <w:tc>
          <w:tcPr>
            <w:tcW w:type="dxa" w:w="1260"/>
            <w:vAlign w:val="center"/>
          </w:tcPr>
          <w:p>
            <w:r>
              <w:rPr>
                <w:sz w:val="13"/>
              </w:rPr>
              <w:t>9,892</w:t>
            </w:r>
          </w:p>
        </w:tc>
        <w:tc>
          <w:tcPr>
            <w:tcW w:type="dxa" w:w="1260"/>
            <w:vAlign w:val="center"/>
          </w:tcPr>
          <w:p>
            <w:r>
              <w:rPr>
                <w:sz w:val="13"/>
              </w:rPr>
              <w:t>2,041</w:t>
            </w:r>
          </w:p>
        </w:tc>
        <w:tc>
          <w:tcPr>
            <w:tcW w:type="dxa" w:w="1260"/>
            <w:vAlign w:val="center"/>
          </w:tcPr>
          <w:p>
            <w:r>
              <w:rPr>
                <w:sz w:val="13"/>
              </w:rPr>
              <w:t>17.10%</w:t>
            </w:r>
          </w:p>
        </w:tc>
        <w:tc>
          <w:tcPr>
            <w:tcW w:type="dxa" w:w="1260"/>
            <w:vAlign w:val="center"/>
          </w:tcPr>
          <w:p>
            <w:r>
              <w:rPr>
                <w:sz w:val="13"/>
              </w:rPr>
              <w:t>471</w:t>
            </w:r>
          </w:p>
        </w:tc>
        <w:tc>
          <w:tcPr>
            <w:tcW w:type="dxa" w:w="1260"/>
            <w:vAlign w:val="center"/>
          </w:tcPr>
          <w:p>
            <w:r>
              <w:rPr>
                <w:sz w:val="13"/>
              </w:rPr>
              <w:t>5.000</w:t>
            </w:r>
          </w:p>
        </w:tc>
      </w:tr>
    </w:tbl>
    <w:p>
      <w:pPr>
        <w:pStyle w:val="Heading1"/>
      </w:pPr>
      <w:r>
        <w:t>Appendix F. Full Supplied Descriptive Statistics</w:t>
      </w:r>
    </w:p>
    <w:p>
      <w:r>
        <w:t>The following table records the descriptive statistics supplied by the research team. These statistics are useful for exploratory quality control but should not be interpreted uniformly because many variables are categorical, coded, weighted, or censored. In particular, skewness and kurtosis for variables containing special response codes should be treated as diagnostic artifacts until those codes are normalized.</w:t>
      </w:r>
    </w:p>
    <w:tbl>
      <w:tblPr>
        <w:tblStyle w:val="TableGrid"/>
        <w:tblW w:type="auto" w:w="0"/>
        <w:tblLook w:firstColumn="1" w:firstRow="1" w:lastColumn="0" w:lastRow="0" w:noHBand="0" w:noVBand="1" w:val="04A0"/>
      </w:tblPr>
      <w:tblGrid>
        <w:gridCol w:w="840"/>
        <w:gridCol w:w="840"/>
        <w:gridCol w:w="840"/>
        <w:gridCol w:w="840"/>
        <w:gridCol w:w="840"/>
        <w:gridCol w:w="840"/>
        <w:gridCol w:w="840"/>
        <w:gridCol w:w="840"/>
        <w:gridCol w:w="840"/>
        <w:gridCol w:w="840"/>
        <w:gridCol w:w="840"/>
        <w:gridCol w:w="840"/>
      </w:tblGrid>
      <w:tr>
        <w:tc>
          <w:tcPr>
            <w:tcW w:type="dxa" w:w="840"/>
          </w:tcPr>
          <w:p>
            <w:r>
              <w:rPr>
                <w:b/>
                <w:sz w:val="13"/>
              </w:rPr>
              <w:t>Feature</w:t>
            </w:r>
          </w:p>
        </w:tc>
        <w:tc>
          <w:tcPr>
            <w:tcW w:type="dxa" w:w="840"/>
          </w:tcPr>
          <w:p>
            <w:r>
              <w:rPr>
                <w:b/>
                <w:sz w:val="13"/>
              </w:rPr>
              <w:t>Count</w:t>
            </w:r>
          </w:p>
        </w:tc>
        <w:tc>
          <w:tcPr>
            <w:tcW w:type="dxa" w:w="840"/>
          </w:tcPr>
          <w:p>
            <w:r>
              <w:rPr>
                <w:b/>
                <w:sz w:val="13"/>
              </w:rPr>
              <w:t>Mean</w:t>
            </w:r>
          </w:p>
        </w:tc>
        <w:tc>
          <w:tcPr>
            <w:tcW w:type="dxa" w:w="840"/>
          </w:tcPr>
          <w:p>
            <w:r>
              <w:rPr>
                <w:b/>
                <w:sz w:val="13"/>
              </w:rPr>
              <w:t>Std</w:t>
            </w:r>
          </w:p>
        </w:tc>
        <w:tc>
          <w:tcPr>
            <w:tcW w:type="dxa" w:w="840"/>
          </w:tcPr>
          <w:p>
            <w:r>
              <w:rPr>
                <w:b/>
                <w:sz w:val="13"/>
              </w:rPr>
              <w:t>Min</w:t>
            </w:r>
          </w:p>
        </w:tc>
        <w:tc>
          <w:tcPr>
            <w:tcW w:type="dxa" w:w="840"/>
          </w:tcPr>
          <w:p>
            <w:r>
              <w:rPr>
                <w:b/>
                <w:sz w:val="13"/>
              </w:rPr>
              <w:t>25%</w:t>
            </w:r>
          </w:p>
        </w:tc>
        <w:tc>
          <w:tcPr>
            <w:tcW w:type="dxa" w:w="840"/>
          </w:tcPr>
          <w:p>
            <w:r>
              <w:rPr>
                <w:b/>
                <w:sz w:val="13"/>
              </w:rPr>
              <w:t>Median</w:t>
            </w:r>
          </w:p>
        </w:tc>
        <w:tc>
          <w:tcPr>
            <w:tcW w:type="dxa" w:w="840"/>
          </w:tcPr>
          <w:p>
            <w:r>
              <w:rPr>
                <w:b/>
                <w:sz w:val="13"/>
              </w:rPr>
              <w:t>75%</w:t>
            </w:r>
          </w:p>
        </w:tc>
        <w:tc>
          <w:tcPr>
            <w:tcW w:type="dxa" w:w="840"/>
          </w:tcPr>
          <w:p>
            <w:r>
              <w:rPr>
                <w:b/>
                <w:sz w:val="13"/>
              </w:rPr>
              <w:t>Max</w:t>
            </w:r>
          </w:p>
        </w:tc>
        <w:tc>
          <w:tcPr>
            <w:tcW w:type="dxa" w:w="840"/>
          </w:tcPr>
          <w:p>
            <w:r>
              <w:rPr>
                <w:b/>
                <w:sz w:val="13"/>
              </w:rPr>
              <w:t>IQR</w:t>
            </w:r>
          </w:p>
        </w:tc>
        <w:tc>
          <w:tcPr>
            <w:tcW w:type="dxa" w:w="840"/>
          </w:tcPr>
          <w:p>
            <w:r>
              <w:rPr>
                <w:b/>
                <w:sz w:val="13"/>
              </w:rPr>
              <w:t>Skewness</w:t>
            </w:r>
          </w:p>
        </w:tc>
        <w:tc>
          <w:tcPr>
            <w:tcW w:type="dxa" w:w="840"/>
          </w:tcPr>
          <w:p>
            <w:r>
              <w:rPr>
                <w:b/>
                <w:sz w:val="13"/>
              </w:rPr>
              <w:t>Kurtosis</w:t>
            </w:r>
          </w:p>
        </w:tc>
      </w:tr>
      <w:tr>
        <w:trPr>
          <w:cantSplit/>
        </w:trPr>
        <w:tc>
          <w:tcPr>
            <w:tcW w:type="dxa" w:w="840"/>
          </w:tcPr>
          <w:p>
            <w:r>
              <w:rPr>
                <w:sz w:val="12"/>
              </w:rPr>
              <w:t>SEQN</w:t>
            </w:r>
          </w:p>
        </w:tc>
        <w:tc>
          <w:tcPr>
            <w:tcW w:type="dxa" w:w="840"/>
          </w:tcPr>
          <w:p>
            <w:r>
              <w:rPr>
                <w:sz w:val="12"/>
              </w:rPr>
              <w:t>11933</w:t>
            </w:r>
          </w:p>
        </w:tc>
        <w:tc>
          <w:tcPr>
            <w:tcW w:type="dxa" w:w="840"/>
          </w:tcPr>
          <w:p>
            <w:r>
              <w:rPr>
                <w:sz w:val="12"/>
              </w:rPr>
              <w:t>136344.000</w:t>
            </w:r>
          </w:p>
        </w:tc>
        <w:tc>
          <w:tcPr>
            <w:tcW w:type="dxa" w:w="840"/>
          </w:tcPr>
          <w:p>
            <w:r>
              <w:rPr>
                <w:sz w:val="12"/>
              </w:rPr>
              <w:t>3444.905</w:t>
            </w:r>
          </w:p>
        </w:tc>
        <w:tc>
          <w:tcPr>
            <w:tcW w:type="dxa" w:w="840"/>
          </w:tcPr>
          <w:p>
            <w:r>
              <w:rPr>
                <w:sz w:val="12"/>
              </w:rPr>
              <w:t>130378</w:t>
            </w:r>
          </w:p>
        </w:tc>
        <w:tc>
          <w:tcPr>
            <w:tcW w:type="dxa" w:w="840"/>
          </w:tcPr>
          <w:p>
            <w:r>
              <w:rPr>
                <w:sz w:val="12"/>
              </w:rPr>
              <w:t>133361</w:t>
            </w:r>
          </w:p>
        </w:tc>
        <w:tc>
          <w:tcPr>
            <w:tcW w:type="dxa" w:w="840"/>
          </w:tcPr>
          <w:p>
            <w:r>
              <w:rPr>
                <w:sz w:val="12"/>
              </w:rPr>
              <w:t>136344</w:t>
            </w:r>
          </w:p>
        </w:tc>
        <w:tc>
          <w:tcPr>
            <w:tcW w:type="dxa" w:w="840"/>
          </w:tcPr>
          <w:p>
            <w:r>
              <w:rPr>
                <w:sz w:val="12"/>
              </w:rPr>
              <w:t>139327</w:t>
            </w:r>
          </w:p>
        </w:tc>
        <w:tc>
          <w:tcPr>
            <w:tcW w:type="dxa" w:w="840"/>
          </w:tcPr>
          <w:p>
            <w:r>
              <w:rPr>
                <w:sz w:val="12"/>
              </w:rPr>
              <w:t>142310</w:t>
            </w:r>
          </w:p>
        </w:tc>
        <w:tc>
          <w:tcPr>
            <w:tcW w:type="dxa" w:w="840"/>
          </w:tcPr>
          <w:p>
            <w:r>
              <w:rPr>
                <w:sz w:val="12"/>
              </w:rPr>
              <w:t>5966</w:t>
            </w:r>
          </w:p>
        </w:tc>
        <w:tc>
          <w:tcPr>
            <w:tcW w:type="dxa" w:w="840"/>
          </w:tcPr>
          <w:p>
            <w:r>
              <w:rPr>
                <w:sz w:val="12"/>
              </w:rPr>
              <w:t>0.000</w:t>
            </w:r>
          </w:p>
        </w:tc>
        <w:tc>
          <w:tcPr>
            <w:tcW w:type="dxa" w:w="840"/>
          </w:tcPr>
          <w:p>
            <w:r>
              <w:rPr>
                <w:sz w:val="12"/>
              </w:rPr>
              <w:t>-1.200</w:t>
            </w:r>
          </w:p>
        </w:tc>
      </w:tr>
      <w:tr>
        <w:trPr>
          <w:cantSplit/>
        </w:trPr>
        <w:tc>
          <w:tcPr>
            <w:tcW w:type="dxa" w:w="840"/>
          </w:tcPr>
          <w:p>
            <w:r>
              <w:rPr>
                <w:sz w:val="12"/>
              </w:rPr>
              <w:t>SDDSRVYR</w:t>
            </w:r>
          </w:p>
        </w:tc>
        <w:tc>
          <w:tcPr>
            <w:tcW w:type="dxa" w:w="840"/>
          </w:tcPr>
          <w:p>
            <w:r>
              <w:rPr>
                <w:sz w:val="12"/>
              </w:rPr>
              <w:t>11933</w:t>
            </w:r>
          </w:p>
        </w:tc>
        <w:tc>
          <w:tcPr>
            <w:tcW w:type="dxa" w:w="840"/>
          </w:tcPr>
          <w:p>
            <w:r>
              <w:rPr>
                <w:sz w:val="12"/>
              </w:rPr>
              <w:t>12.000</w:t>
            </w:r>
          </w:p>
        </w:tc>
        <w:tc>
          <w:tcPr>
            <w:tcW w:type="dxa" w:w="840"/>
          </w:tcPr>
          <w:p>
            <w:r>
              <w:rPr>
                <w:sz w:val="12"/>
              </w:rPr>
              <w:t>0.000</w:t>
            </w:r>
          </w:p>
        </w:tc>
        <w:tc>
          <w:tcPr>
            <w:tcW w:type="dxa" w:w="840"/>
          </w:tcPr>
          <w:p>
            <w:r>
              <w:rPr>
                <w:sz w:val="12"/>
              </w:rPr>
              <w:t>12</w:t>
            </w:r>
          </w:p>
        </w:tc>
        <w:tc>
          <w:tcPr>
            <w:tcW w:type="dxa" w:w="840"/>
          </w:tcPr>
          <w:p>
            <w:r>
              <w:rPr>
                <w:sz w:val="12"/>
              </w:rPr>
              <w:t>12</w:t>
            </w:r>
          </w:p>
        </w:tc>
        <w:tc>
          <w:tcPr>
            <w:tcW w:type="dxa" w:w="840"/>
          </w:tcPr>
          <w:p>
            <w:r>
              <w:rPr>
                <w:sz w:val="12"/>
              </w:rPr>
              <w:t>12</w:t>
            </w:r>
          </w:p>
        </w:tc>
        <w:tc>
          <w:tcPr>
            <w:tcW w:type="dxa" w:w="840"/>
          </w:tcPr>
          <w:p>
            <w:r>
              <w:rPr>
                <w:sz w:val="12"/>
              </w:rPr>
              <w:t>12</w:t>
            </w:r>
          </w:p>
        </w:tc>
        <w:tc>
          <w:tcPr>
            <w:tcW w:type="dxa" w:w="840"/>
          </w:tcPr>
          <w:p>
            <w:r>
              <w:rPr>
                <w:sz w:val="12"/>
              </w:rPr>
              <w:t>12</w:t>
            </w:r>
          </w:p>
        </w:tc>
        <w:tc>
          <w:tcPr>
            <w:tcW w:type="dxa" w:w="840"/>
          </w:tcPr>
          <w:p>
            <w:r>
              <w:rPr>
                <w:sz w:val="12"/>
              </w:rPr>
              <w:t>0</w:t>
            </w:r>
          </w:p>
        </w:tc>
        <w:tc>
          <w:tcPr>
            <w:tcW w:type="dxa" w:w="840"/>
          </w:tcPr>
          <w:p>
            <w:r>
              <w:rPr>
                <w:sz w:val="12"/>
              </w:rPr>
              <w:t>0.000</w:t>
            </w:r>
          </w:p>
        </w:tc>
        <w:tc>
          <w:tcPr>
            <w:tcW w:type="dxa" w:w="840"/>
          </w:tcPr>
          <w:p>
            <w:r>
              <w:rPr>
                <w:sz w:val="12"/>
              </w:rPr>
              <w:t>0.000</w:t>
            </w:r>
          </w:p>
        </w:tc>
      </w:tr>
      <w:tr>
        <w:trPr>
          <w:cantSplit/>
        </w:trPr>
        <w:tc>
          <w:tcPr>
            <w:tcW w:type="dxa" w:w="840"/>
          </w:tcPr>
          <w:p>
            <w:r>
              <w:rPr>
                <w:sz w:val="12"/>
              </w:rPr>
              <w:t>RIDSTATR</w:t>
            </w:r>
          </w:p>
        </w:tc>
        <w:tc>
          <w:tcPr>
            <w:tcW w:type="dxa" w:w="840"/>
          </w:tcPr>
          <w:p>
            <w:r>
              <w:rPr>
                <w:sz w:val="12"/>
              </w:rPr>
              <w:t>11933</w:t>
            </w:r>
          </w:p>
        </w:tc>
        <w:tc>
          <w:tcPr>
            <w:tcW w:type="dxa" w:w="840"/>
          </w:tcPr>
          <w:p>
            <w:r>
              <w:rPr>
                <w:sz w:val="12"/>
              </w:rPr>
              <w:t>1.742</w:t>
            </w:r>
          </w:p>
        </w:tc>
        <w:tc>
          <w:tcPr>
            <w:tcW w:type="dxa" w:w="840"/>
          </w:tcPr>
          <w:p>
            <w:r>
              <w:rPr>
                <w:sz w:val="12"/>
              </w:rPr>
              <w:t>0.437</w:t>
            </w:r>
          </w:p>
        </w:tc>
        <w:tc>
          <w:tcPr>
            <w:tcW w:type="dxa" w:w="840"/>
          </w:tcPr>
          <w:p>
            <w:r>
              <w:rPr>
                <w:sz w:val="12"/>
              </w:rPr>
              <w:t>1</w:t>
            </w:r>
          </w:p>
        </w:tc>
        <w:tc>
          <w:tcPr>
            <w:tcW w:type="dxa" w:w="840"/>
          </w:tcPr>
          <w:p>
            <w:r>
              <w:rPr>
                <w:sz w:val="12"/>
              </w:rPr>
              <w:t>1</w:t>
            </w:r>
          </w:p>
        </w:tc>
        <w:tc>
          <w:tcPr>
            <w:tcW w:type="dxa" w:w="840"/>
          </w:tcPr>
          <w:p>
            <w:r>
              <w:rPr>
                <w:sz w:val="12"/>
              </w:rPr>
              <w:t>2</w:t>
            </w:r>
          </w:p>
        </w:tc>
        <w:tc>
          <w:tcPr>
            <w:tcW w:type="dxa" w:w="840"/>
          </w:tcPr>
          <w:p>
            <w:r>
              <w:rPr>
                <w:sz w:val="12"/>
              </w:rPr>
              <w:t>2</w:t>
            </w:r>
          </w:p>
        </w:tc>
        <w:tc>
          <w:tcPr>
            <w:tcW w:type="dxa" w:w="840"/>
          </w:tcPr>
          <w:p>
            <w:r>
              <w:rPr>
                <w:sz w:val="12"/>
              </w:rPr>
              <w:t>2</w:t>
            </w:r>
          </w:p>
        </w:tc>
        <w:tc>
          <w:tcPr>
            <w:tcW w:type="dxa" w:w="840"/>
          </w:tcPr>
          <w:p>
            <w:r>
              <w:rPr>
                <w:sz w:val="12"/>
              </w:rPr>
              <w:t>1</w:t>
            </w:r>
          </w:p>
        </w:tc>
        <w:tc>
          <w:tcPr>
            <w:tcW w:type="dxa" w:w="840"/>
          </w:tcPr>
          <w:p>
            <w:r>
              <w:rPr>
                <w:sz w:val="12"/>
              </w:rPr>
              <w:t>-1.109</w:t>
            </w:r>
          </w:p>
        </w:tc>
        <w:tc>
          <w:tcPr>
            <w:tcW w:type="dxa" w:w="840"/>
          </w:tcPr>
          <w:p>
            <w:r>
              <w:rPr>
                <w:sz w:val="12"/>
              </w:rPr>
              <w:t>-0.770</w:t>
            </w:r>
          </w:p>
        </w:tc>
      </w:tr>
      <w:tr>
        <w:trPr>
          <w:cantSplit/>
        </w:trPr>
        <w:tc>
          <w:tcPr>
            <w:tcW w:type="dxa" w:w="840"/>
          </w:tcPr>
          <w:p>
            <w:r>
              <w:rPr>
                <w:sz w:val="12"/>
              </w:rPr>
              <w:t>RIAGENDR</w:t>
            </w:r>
          </w:p>
        </w:tc>
        <w:tc>
          <w:tcPr>
            <w:tcW w:type="dxa" w:w="840"/>
          </w:tcPr>
          <w:p>
            <w:r>
              <w:rPr>
                <w:sz w:val="12"/>
              </w:rPr>
              <w:t>11933</w:t>
            </w:r>
          </w:p>
        </w:tc>
        <w:tc>
          <w:tcPr>
            <w:tcW w:type="dxa" w:w="840"/>
          </w:tcPr>
          <w:p>
            <w:r>
              <w:rPr>
                <w:sz w:val="12"/>
              </w:rPr>
              <w:t>1.533</w:t>
            </w:r>
          </w:p>
        </w:tc>
        <w:tc>
          <w:tcPr>
            <w:tcW w:type="dxa" w:w="840"/>
          </w:tcPr>
          <w:p>
            <w:r>
              <w:rPr>
                <w:sz w:val="12"/>
              </w:rPr>
              <w:t>0.499</w:t>
            </w:r>
          </w:p>
        </w:tc>
        <w:tc>
          <w:tcPr>
            <w:tcW w:type="dxa" w:w="840"/>
          </w:tcPr>
          <w:p>
            <w:r>
              <w:rPr>
                <w:sz w:val="12"/>
              </w:rPr>
              <w:t>1</w:t>
            </w:r>
          </w:p>
        </w:tc>
        <w:tc>
          <w:tcPr>
            <w:tcW w:type="dxa" w:w="840"/>
          </w:tcPr>
          <w:p>
            <w:r>
              <w:rPr>
                <w:sz w:val="12"/>
              </w:rPr>
              <w:t>1</w:t>
            </w:r>
          </w:p>
        </w:tc>
        <w:tc>
          <w:tcPr>
            <w:tcW w:type="dxa" w:w="840"/>
          </w:tcPr>
          <w:p>
            <w:r>
              <w:rPr>
                <w:sz w:val="12"/>
              </w:rPr>
              <w:t>2</w:t>
            </w:r>
          </w:p>
        </w:tc>
        <w:tc>
          <w:tcPr>
            <w:tcW w:type="dxa" w:w="840"/>
          </w:tcPr>
          <w:p>
            <w:r>
              <w:rPr>
                <w:sz w:val="12"/>
              </w:rPr>
              <w:t>2</w:t>
            </w:r>
          </w:p>
        </w:tc>
        <w:tc>
          <w:tcPr>
            <w:tcW w:type="dxa" w:w="840"/>
          </w:tcPr>
          <w:p>
            <w:r>
              <w:rPr>
                <w:sz w:val="12"/>
              </w:rPr>
              <w:t>2</w:t>
            </w:r>
          </w:p>
        </w:tc>
        <w:tc>
          <w:tcPr>
            <w:tcW w:type="dxa" w:w="840"/>
          </w:tcPr>
          <w:p>
            <w:r>
              <w:rPr>
                <w:sz w:val="12"/>
              </w:rPr>
              <w:t>1</w:t>
            </w:r>
          </w:p>
        </w:tc>
        <w:tc>
          <w:tcPr>
            <w:tcW w:type="dxa" w:w="840"/>
          </w:tcPr>
          <w:p>
            <w:r>
              <w:rPr>
                <w:sz w:val="12"/>
              </w:rPr>
              <w:t>-0.132</w:t>
            </w:r>
          </w:p>
        </w:tc>
        <w:tc>
          <w:tcPr>
            <w:tcW w:type="dxa" w:w="840"/>
          </w:tcPr>
          <w:p>
            <w:r>
              <w:rPr>
                <w:sz w:val="12"/>
              </w:rPr>
              <w:t>-1.983</w:t>
            </w:r>
          </w:p>
        </w:tc>
      </w:tr>
      <w:tr>
        <w:trPr>
          <w:cantSplit/>
        </w:trPr>
        <w:tc>
          <w:tcPr>
            <w:tcW w:type="dxa" w:w="840"/>
          </w:tcPr>
          <w:p>
            <w:r>
              <w:rPr>
                <w:sz w:val="12"/>
              </w:rPr>
              <w:t>RIDAGEYR</w:t>
            </w:r>
          </w:p>
        </w:tc>
        <w:tc>
          <w:tcPr>
            <w:tcW w:type="dxa" w:w="840"/>
          </w:tcPr>
          <w:p>
            <w:r>
              <w:rPr>
                <w:sz w:val="12"/>
              </w:rPr>
              <w:t>11933</w:t>
            </w:r>
          </w:p>
        </w:tc>
        <w:tc>
          <w:tcPr>
            <w:tcW w:type="dxa" w:w="840"/>
          </w:tcPr>
          <w:p>
            <w:r>
              <w:rPr>
                <w:sz w:val="12"/>
              </w:rPr>
              <w:t>38.318</w:t>
            </w:r>
          </w:p>
        </w:tc>
        <w:tc>
          <w:tcPr>
            <w:tcW w:type="dxa" w:w="840"/>
          </w:tcPr>
          <w:p>
            <w:r>
              <w:rPr>
                <w:sz w:val="12"/>
              </w:rPr>
              <w:t>25.602</w:t>
            </w:r>
          </w:p>
        </w:tc>
        <w:tc>
          <w:tcPr>
            <w:tcW w:type="dxa" w:w="840"/>
          </w:tcPr>
          <w:p>
            <w:r>
              <w:rPr>
                <w:sz w:val="12"/>
              </w:rPr>
              <w:t>0</w:t>
            </w:r>
          </w:p>
        </w:tc>
        <w:tc>
          <w:tcPr>
            <w:tcW w:type="dxa" w:w="840"/>
          </w:tcPr>
          <w:p>
            <w:r>
              <w:rPr>
                <w:sz w:val="12"/>
              </w:rPr>
              <w:t>13</w:t>
            </w:r>
          </w:p>
        </w:tc>
        <w:tc>
          <w:tcPr>
            <w:tcW w:type="dxa" w:w="840"/>
          </w:tcPr>
          <w:p>
            <w:r>
              <w:rPr>
                <w:sz w:val="12"/>
              </w:rPr>
              <w:t>37</w:t>
            </w:r>
          </w:p>
        </w:tc>
        <w:tc>
          <w:tcPr>
            <w:tcW w:type="dxa" w:w="840"/>
          </w:tcPr>
          <w:p>
            <w:r>
              <w:rPr>
                <w:sz w:val="12"/>
              </w:rPr>
              <w:t>62</w:t>
            </w:r>
          </w:p>
        </w:tc>
        <w:tc>
          <w:tcPr>
            <w:tcW w:type="dxa" w:w="840"/>
          </w:tcPr>
          <w:p>
            <w:r>
              <w:rPr>
                <w:sz w:val="12"/>
              </w:rPr>
              <w:t>80</w:t>
            </w:r>
          </w:p>
        </w:tc>
        <w:tc>
          <w:tcPr>
            <w:tcW w:type="dxa" w:w="840"/>
          </w:tcPr>
          <w:p>
            <w:r>
              <w:rPr>
                <w:sz w:val="12"/>
              </w:rPr>
              <w:t>49</w:t>
            </w:r>
          </w:p>
        </w:tc>
        <w:tc>
          <w:tcPr>
            <w:tcW w:type="dxa" w:w="840"/>
          </w:tcPr>
          <w:p>
            <w:r>
              <w:rPr>
                <w:sz w:val="12"/>
              </w:rPr>
              <w:t>0.086</w:t>
            </w:r>
          </w:p>
        </w:tc>
        <w:tc>
          <w:tcPr>
            <w:tcW w:type="dxa" w:w="840"/>
          </w:tcPr>
          <w:p>
            <w:r>
              <w:rPr>
                <w:sz w:val="12"/>
              </w:rPr>
              <w:t>-1.414</w:t>
            </w:r>
          </w:p>
        </w:tc>
      </w:tr>
      <w:tr>
        <w:trPr>
          <w:cantSplit/>
        </w:trPr>
        <w:tc>
          <w:tcPr>
            <w:tcW w:type="dxa" w:w="840"/>
          </w:tcPr>
          <w:p>
            <w:r>
              <w:rPr>
                <w:sz w:val="12"/>
              </w:rPr>
              <w:t>RIDAGEMN</w:t>
            </w:r>
          </w:p>
        </w:tc>
        <w:tc>
          <w:tcPr>
            <w:tcW w:type="dxa" w:w="840"/>
          </w:tcPr>
          <w:p>
            <w:r>
              <w:rPr>
                <w:sz w:val="12"/>
              </w:rPr>
              <w:t>377</w:t>
            </w:r>
          </w:p>
        </w:tc>
        <w:tc>
          <w:tcPr>
            <w:tcW w:type="dxa" w:w="840"/>
          </w:tcPr>
          <w:p>
            <w:r>
              <w:rPr>
                <w:sz w:val="12"/>
              </w:rPr>
              <w:t>11.629</w:t>
            </w:r>
          </w:p>
        </w:tc>
        <w:tc>
          <w:tcPr>
            <w:tcW w:type="dxa" w:w="840"/>
          </w:tcPr>
          <w:p>
            <w:r>
              <w:rPr>
                <w:sz w:val="12"/>
              </w:rPr>
              <w:t>6.805</w:t>
            </w:r>
          </w:p>
        </w:tc>
        <w:tc>
          <w:tcPr>
            <w:tcW w:type="dxa" w:w="840"/>
          </w:tcPr>
          <w:p>
            <w:r>
              <w:rPr>
                <w:sz w:val="12"/>
              </w:rPr>
              <w:t>0</w:t>
            </w:r>
          </w:p>
        </w:tc>
        <w:tc>
          <w:tcPr>
            <w:tcW w:type="dxa" w:w="840"/>
          </w:tcPr>
          <w:p>
            <w:r>
              <w:rPr>
                <w:sz w:val="12"/>
              </w:rPr>
              <w:t>6</w:t>
            </w:r>
          </w:p>
        </w:tc>
        <w:tc>
          <w:tcPr>
            <w:tcW w:type="dxa" w:w="840"/>
          </w:tcPr>
          <w:p>
            <w:r>
              <w:rPr>
                <w:sz w:val="12"/>
              </w:rPr>
              <w:t>11</w:t>
            </w:r>
          </w:p>
        </w:tc>
        <w:tc>
          <w:tcPr>
            <w:tcW w:type="dxa" w:w="840"/>
          </w:tcPr>
          <w:p>
            <w:r>
              <w:rPr>
                <w:sz w:val="12"/>
              </w:rPr>
              <w:t>17</w:t>
            </w:r>
          </w:p>
        </w:tc>
        <w:tc>
          <w:tcPr>
            <w:tcW w:type="dxa" w:w="840"/>
          </w:tcPr>
          <w:p>
            <w:r>
              <w:rPr>
                <w:sz w:val="12"/>
              </w:rPr>
              <w:t>24</w:t>
            </w:r>
          </w:p>
        </w:tc>
        <w:tc>
          <w:tcPr>
            <w:tcW w:type="dxa" w:w="840"/>
          </w:tcPr>
          <w:p>
            <w:r>
              <w:rPr>
                <w:sz w:val="12"/>
              </w:rPr>
              <w:t>11</w:t>
            </w:r>
          </w:p>
        </w:tc>
        <w:tc>
          <w:tcPr>
            <w:tcW w:type="dxa" w:w="840"/>
          </w:tcPr>
          <w:p>
            <w:r>
              <w:rPr>
                <w:sz w:val="12"/>
              </w:rPr>
              <w:t>0.066</w:t>
            </w:r>
          </w:p>
        </w:tc>
        <w:tc>
          <w:tcPr>
            <w:tcW w:type="dxa" w:w="840"/>
          </w:tcPr>
          <w:p>
            <w:r>
              <w:rPr>
                <w:sz w:val="12"/>
              </w:rPr>
              <w:t>-1.063</w:t>
            </w:r>
          </w:p>
        </w:tc>
      </w:tr>
      <w:tr>
        <w:trPr>
          <w:cantSplit/>
        </w:trPr>
        <w:tc>
          <w:tcPr>
            <w:tcW w:type="dxa" w:w="840"/>
          </w:tcPr>
          <w:p>
            <w:r>
              <w:rPr>
                <w:sz w:val="12"/>
              </w:rPr>
              <w:t>RIDRETH1</w:t>
            </w:r>
          </w:p>
        </w:tc>
        <w:tc>
          <w:tcPr>
            <w:tcW w:type="dxa" w:w="840"/>
          </w:tcPr>
          <w:p>
            <w:r>
              <w:rPr>
                <w:sz w:val="12"/>
              </w:rPr>
              <w:t>11933</w:t>
            </w:r>
          </w:p>
        </w:tc>
        <w:tc>
          <w:tcPr>
            <w:tcW w:type="dxa" w:w="840"/>
          </w:tcPr>
          <w:p>
            <w:r>
              <w:rPr>
                <w:sz w:val="12"/>
              </w:rPr>
              <w:t>3.105</w:t>
            </w:r>
          </w:p>
        </w:tc>
        <w:tc>
          <w:tcPr>
            <w:tcW w:type="dxa" w:w="840"/>
          </w:tcPr>
          <w:p>
            <w:r>
              <w:rPr>
                <w:sz w:val="12"/>
              </w:rPr>
              <w:t>1.076</w:t>
            </w:r>
          </w:p>
        </w:tc>
        <w:tc>
          <w:tcPr>
            <w:tcW w:type="dxa" w:w="840"/>
          </w:tcPr>
          <w:p>
            <w:r>
              <w:rPr>
                <w:sz w:val="12"/>
              </w:rPr>
              <w:t>1</w:t>
            </w:r>
          </w:p>
        </w:tc>
        <w:tc>
          <w:tcPr>
            <w:tcW w:type="dxa" w:w="840"/>
          </w:tcPr>
          <w:p>
            <w:r>
              <w:rPr>
                <w:sz w:val="12"/>
              </w:rPr>
              <w:t>3</w:t>
            </w:r>
          </w:p>
        </w:tc>
        <w:tc>
          <w:tcPr>
            <w:tcW w:type="dxa" w:w="840"/>
          </w:tcPr>
          <w:p>
            <w:r>
              <w:rPr>
                <w:sz w:val="12"/>
              </w:rPr>
              <w:t>3</w:t>
            </w:r>
          </w:p>
        </w:tc>
        <w:tc>
          <w:tcPr>
            <w:tcW w:type="dxa" w:w="840"/>
          </w:tcPr>
          <w:p>
            <w:r>
              <w:rPr>
                <w:sz w:val="12"/>
              </w:rPr>
              <w:t>4</w:t>
            </w:r>
          </w:p>
        </w:tc>
        <w:tc>
          <w:tcPr>
            <w:tcW w:type="dxa" w:w="840"/>
          </w:tcPr>
          <w:p>
            <w:r>
              <w:rPr>
                <w:sz w:val="12"/>
              </w:rPr>
              <w:t>5</w:t>
            </w:r>
          </w:p>
        </w:tc>
        <w:tc>
          <w:tcPr>
            <w:tcW w:type="dxa" w:w="840"/>
          </w:tcPr>
          <w:p>
            <w:r>
              <w:rPr>
                <w:sz w:val="12"/>
              </w:rPr>
              <w:t>1</w:t>
            </w:r>
          </w:p>
        </w:tc>
        <w:tc>
          <w:tcPr>
            <w:tcW w:type="dxa" w:w="840"/>
          </w:tcPr>
          <w:p>
            <w:r>
              <w:rPr>
                <w:sz w:val="12"/>
              </w:rPr>
              <w:t>-0.002</w:t>
            </w:r>
          </w:p>
        </w:tc>
        <w:tc>
          <w:tcPr>
            <w:tcW w:type="dxa" w:w="840"/>
          </w:tcPr>
          <w:p>
            <w:r>
              <w:rPr>
                <w:sz w:val="12"/>
              </w:rPr>
              <w:t>-0.126</w:t>
            </w:r>
          </w:p>
        </w:tc>
      </w:tr>
      <w:tr>
        <w:trPr>
          <w:cantSplit/>
        </w:trPr>
        <w:tc>
          <w:tcPr>
            <w:tcW w:type="dxa" w:w="840"/>
          </w:tcPr>
          <w:p>
            <w:r>
              <w:rPr>
                <w:sz w:val="12"/>
              </w:rPr>
              <w:t>RIDRETH3</w:t>
            </w:r>
          </w:p>
        </w:tc>
        <w:tc>
          <w:tcPr>
            <w:tcW w:type="dxa" w:w="840"/>
          </w:tcPr>
          <w:p>
            <w:r>
              <w:rPr>
                <w:sz w:val="12"/>
              </w:rPr>
              <w:t>11933</w:t>
            </w:r>
          </w:p>
        </w:tc>
        <w:tc>
          <w:tcPr>
            <w:tcW w:type="dxa" w:w="840"/>
          </w:tcPr>
          <w:p>
            <w:r>
              <w:rPr>
                <w:sz w:val="12"/>
              </w:rPr>
              <w:t>3.321</w:t>
            </w:r>
          </w:p>
        </w:tc>
        <w:tc>
          <w:tcPr>
            <w:tcW w:type="dxa" w:w="840"/>
          </w:tcPr>
          <w:p>
            <w:r>
              <w:rPr>
                <w:sz w:val="12"/>
              </w:rPr>
              <w:t>1.518</w:t>
            </w:r>
          </w:p>
        </w:tc>
        <w:tc>
          <w:tcPr>
            <w:tcW w:type="dxa" w:w="840"/>
          </w:tcPr>
          <w:p>
            <w:r>
              <w:rPr>
                <w:sz w:val="12"/>
              </w:rPr>
              <w:t>1</w:t>
            </w:r>
          </w:p>
        </w:tc>
        <w:tc>
          <w:tcPr>
            <w:tcW w:type="dxa" w:w="840"/>
          </w:tcPr>
          <w:p>
            <w:r>
              <w:rPr>
                <w:sz w:val="12"/>
              </w:rPr>
              <w:t>3</w:t>
            </w:r>
          </w:p>
        </w:tc>
        <w:tc>
          <w:tcPr>
            <w:tcW w:type="dxa" w:w="840"/>
          </w:tcPr>
          <w:p>
            <w:r>
              <w:rPr>
                <w:sz w:val="12"/>
              </w:rPr>
              <w:t>3</w:t>
            </w:r>
          </w:p>
        </w:tc>
        <w:tc>
          <w:tcPr>
            <w:tcW w:type="dxa" w:w="840"/>
          </w:tcPr>
          <w:p>
            <w:r>
              <w:rPr>
                <w:sz w:val="12"/>
              </w:rPr>
              <w:t>4</w:t>
            </w:r>
          </w:p>
        </w:tc>
        <w:tc>
          <w:tcPr>
            <w:tcW w:type="dxa" w:w="840"/>
          </w:tcPr>
          <w:p>
            <w:r>
              <w:rPr>
                <w:sz w:val="12"/>
              </w:rPr>
              <w:t>7</w:t>
            </w:r>
          </w:p>
        </w:tc>
        <w:tc>
          <w:tcPr>
            <w:tcW w:type="dxa" w:w="840"/>
          </w:tcPr>
          <w:p>
            <w:r>
              <w:rPr>
                <w:sz w:val="12"/>
              </w:rPr>
              <w:t>1</w:t>
            </w:r>
          </w:p>
        </w:tc>
        <w:tc>
          <w:tcPr>
            <w:tcW w:type="dxa" w:w="840"/>
          </w:tcPr>
          <w:p>
            <w:r>
              <w:rPr>
                <w:sz w:val="12"/>
              </w:rPr>
              <w:t>1.042</w:t>
            </w:r>
          </w:p>
        </w:tc>
        <w:tc>
          <w:tcPr>
            <w:tcW w:type="dxa" w:w="840"/>
          </w:tcPr>
          <w:p>
            <w:r>
              <w:rPr>
                <w:sz w:val="12"/>
              </w:rPr>
              <w:t>0.877</w:t>
            </w:r>
          </w:p>
        </w:tc>
      </w:tr>
      <w:tr>
        <w:trPr>
          <w:cantSplit/>
        </w:trPr>
        <w:tc>
          <w:tcPr>
            <w:tcW w:type="dxa" w:w="840"/>
          </w:tcPr>
          <w:p>
            <w:r>
              <w:rPr>
                <w:sz w:val="12"/>
              </w:rPr>
              <w:t>RIDEXMON</w:t>
            </w:r>
          </w:p>
        </w:tc>
        <w:tc>
          <w:tcPr>
            <w:tcW w:type="dxa" w:w="840"/>
          </w:tcPr>
          <w:p>
            <w:r>
              <w:rPr>
                <w:sz w:val="12"/>
              </w:rPr>
              <w:t>8860</w:t>
            </w:r>
          </w:p>
        </w:tc>
        <w:tc>
          <w:tcPr>
            <w:tcW w:type="dxa" w:w="840"/>
          </w:tcPr>
          <w:p>
            <w:r>
              <w:rPr>
                <w:sz w:val="12"/>
              </w:rPr>
              <w:t>1.520</w:t>
            </w:r>
          </w:p>
        </w:tc>
        <w:tc>
          <w:tcPr>
            <w:tcW w:type="dxa" w:w="840"/>
          </w:tcPr>
          <w:p>
            <w:r>
              <w:rPr>
                <w:sz w:val="12"/>
              </w:rPr>
              <w:t>0.500</w:t>
            </w:r>
          </w:p>
        </w:tc>
        <w:tc>
          <w:tcPr>
            <w:tcW w:type="dxa" w:w="840"/>
          </w:tcPr>
          <w:p>
            <w:r>
              <w:rPr>
                <w:sz w:val="12"/>
              </w:rPr>
              <w:t>1</w:t>
            </w:r>
          </w:p>
        </w:tc>
        <w:tc>
          <w:tcPr>
            <w:tcW w:type="dxa" w:w="840"/>
          </w:tcPr>
          <w:p>
            <w:r>
              <w:rPr>
                <w:sz w:val="12"/>
              </w:rPr>
              <w:t>1</w:t>
            </w:r>
          </w:p>
        </w:tc>
        <w:tc>
          <w:tcPr>
            <w:tcW w:type="dxa" w:w="840"/>
          </w:tcPr>
          <w:p>
            <w:r>
              <w:rPr>
                <w:sz w:val="12"/>
              </w:rPr>
              <w:t>2</w:t>
            </w:r>
          </w:p>
        </w:tc>
        <w:tc>
          <w:tcPr>
            <w:tcW w:type="dxa" w:w="840"/>
          </w:tcPr>
          <w:p>
            <w:r>
              <w:rPr>
                <w:sz w:val="12"/>
              </w:rPr>
              <w:t>2</w:t>
            </w:r>
          </w:p>
        </w:tc>
        <w:tc>
          <w:tcPr>
            <w:tcW w:type="dxa" w:w="840"/>
          </w:tcPr>
          <w:p>
            <w:r>
              <w:rPr>
                <w:sz w:val="12"/>
              </w:rPr>
              <w:t>2</w:t>
            </w:r>
          </w:p>
        </w:tc>
        <w:tc>
          <w:tcPr>
            <w:tcW w:type="dxa" w:w="840"/>
          </w:tcPr>
          <w:p>
            <w:r>
              <w:rPr>
                <w:sz w:val="12"/>
              </w:rPr>
              <w:t>1</w:t>
            </w:r>
          </w:p>
        </w:tc>
        <w:tc>
          <w:tcPr>
            <w:tcW w:type="dxa" w:w="840"/>
          </w:tcPr>
          <w:p>
            <w:r>
              <w:rPr>
                <w:sz w:val="12"/>
              </w:rPr>
              <w:t>-0.081</w:t>
            </w:r>
          </w:p>
        </w:tc>
        <w:tc>
          <w:tcPr>
            <w:tcW w:type="dxa" w:w="840"/>
          </w:tcPr>
          <w:p>
            <w:r>
              <w:rPr>
                <w:sz w:val="12"/>
              </w:rPr>
              <w:t>-1.994</w:t>
            </w:r>
          </w:p>
        </w:tc>
      </w:tr>
      <w:tr>
        <w:trPr>
          <w:cantSplit/>
        </w:trPr>
        <w:tc>
          <w:tcPr>
            <w:tcW w:type="dxa" w:w="840"/>
          </w:tcPr>
          <w:p>
            <w:r>
              <w:rPr>
                <w:sz w:val="12"/>
              </w:rPr>
              <w:t>RIDEXAGM</w:t>
            </w:r>
          </w:p>
        </w:tc>
        <w:tc>
          <w:tcPr>
            <w:tcW w:type="dxa" w:w="840"/>
          </w:tcPr>
          <w:p>
            <w:r>
              <w:rPr>
                <w:sz w:val="12"/>
              </w:rPr>
              <w:t>2787</w:t>
            </w:r>
          </w:p>
        </w:tc>
        <w:tc>
          <w:tcPr>
            <w:tcW w:type="dxa" w:w="840"/>
          </w:tcPr>
          <w:p>
            <w:r>
              <w:rPr>
                <w:sz w:val="12"/>
              </w:rPr>
              <w:t>121.909</w:t>
            </w:r>
          </w:p>
        </w:tc>
        <w:tc>
          <w:tcPr>
            <w:tcW w:type="dxa" w:w="840"/>
          </w:tcPr>
          <w:p>
            <w:r>
              <w:rPr>
                <w:sz w:val="12"/>
              </w:rPr>
              <w:t>67.159</w:t>
            </w:r>
          </w:p>
        </w:tc>
        <w:tc>
          <w:tcPr>
            <w:tcW w:type="dxa" w:w="840"/>
          </w:tcPr>
          <w:p>
            <w:r>
              <w:rPr>
                <w:sz w:val="12"/>
              </w:rPr>
              <w:t>0</w:t>
            </w:r>
          </w:p>
        </w:tc>
        <w:tc>
          <w:tcPr>
            <w:tcW w:type="dxa" w:w="840"/>
          </w:tcPr>
          <w:p>
            <w:r>
              <w:rPr>
                <w:sz w:val="12"/>
              </w:rPr>
              <w:t>66</w:t>
            </w:r>
          </w:p>
        </w:tc>
        <w:tc>
          <w:tcPr>
            <w:tcW w:type="dxa" w:w="840"/>
          </w:tcPr>
          <w:p>
            <w:r>
              <w:rPr>
                <w:sz w:val="12"/>
              </w:rPr>
              <w:t>122</w:t>
            </w:r>
          </w:p>
        </w:tc>
        <w:tc>
          <w:tcPr>
            <w:tcW w:type="dxa" w:w="840"/>
          </w:tcPr>
          <w:p>
            <w:r>
              <w:rPr>
                <w:sz w:val="12"/>
              </w:rPr>
              <w:t>179.5</w:t>
            </w:r>
          </w:p>
        </w:tc>
        <w:tc>
          <w:tcPr>
            <w:tcW w:type="dxa" w:w="840"/>
          </w:tcPr>
          <w:p>
            <w:r>
              <w:rPr>
                <w:sz w:val="12"/>
              </w:rPr>
              <w:t>239</w:t>
            </w:r>
          </w:p>
        </w:tc>
        <w:tc>
          <w:tcPr>
            <w:tcW w:type="dxa" w:w="840"/>
          </w:tcPr>
          <w:p>
            <w:r>
              <w:rPr>
                <w:sz w:val="12"/>
              </w:rPr>
              <w:t>113.5</w:t>
            </w:r>
          </w:p>
        </w:tc>
        <w:tc>
          <w:tcPr>
            <w:tcW w:type="dxa" w:w="840"/>
          </w:tcPr>
          <w:p>
            <w:r>
              <w:rPr>
                <w:sz w:val="12"/>
              </w:rPr>
              <w:t>-0.036</w:t>
            </w:r>
          </w:p>
        </w:tc>
        <w:tc>
          <w:tcPr>
            <w:tcW w:type="dxa" w:w="840"/>
          </w:tcPr>
          <w:p>
            <w:r>
              <w:rPr>
                <w:sz w:val="12"/>
              </w:rPr>
              <w:t>-1.132</w:t>
            </w:r>
          </w:p>
        </w:tc>
      </w:tr>
      <w:tr>
        <w:trPr>
          <w:cantSplit/>
        </w:trPr>
        <w:tc>
          <w:tcPr>
            <w:tcW w:type="dxa" w:w="840"/>
          </w:tcPr>
          <w:p>
            <w:r>
              <w:rPr>
                <w:sz w:val="12"/>
              </w:rPr>
              <w:t>DMQMILIZ</w:t>
            </w:r>
          </w:p>
        </w:tc>
        <w:tc>
          <w:tcPr>
            <w:tcW w:type="dxa" w:w="840"/>
          </w:tcPr>
          <w:p>
            <w:r>
              <w:rPr>
                <w:sz w:val="12"/>
              </w:rPr>
              <w:t>8301</w:t>
            </w:r>
          </w:p>
        </w:tc>
        <w:tc>
          <w:tcPr>
            <w:tcW w:type="dxa" w:w="840"/>
          </w:tcPr>
          <w:p>
            <w:r>
              <w:rPr>
                <w:sz w:val="12"/>
              </w:rPr>
              <w:t>1.917</w:t>
            </w:r>
          </w:p>
        </w:tc>
        <w:tc>
          <w:tcPr>
            <w:tcW w:type="dxa" w:w="840"/>
          </w:tcPr>
          <w:p>
            <w:r>
              <w:rPr>
                <w:sz w:val="12"/>
              </w:rPr>
              <w:t>0.282</w:t>
            </w:r>
          </w:p>
        </w:tc>
        <w:tc>
          <w:tcPr>
            <w:tcW w:type="dxa" w:w="840"/>
          </w:tcPr>
          <w:p>
            <w:r>
              <w:rPr>
                <w:sz w:val="12"/>
              </w:rPr>
              <w:t>1</w:t>
            </w:r>
          </w:p>
        </w:tc>
        <w:tc>
          <w:tcPr>
            <w:tcW w:type="dxa" w:w="840"/>
          </w:tcPr>
          <w:p>
            <w:r>
              <w:rPr>
                <w:sz w:val="12"/>
              </w:rPr>
              <w:t>2</w:t>
            </w:r>
          </w:p>
        </w:tc>
        <w:tc>
          <w:tcPr>
            <w:tcW w:type="dxa" w:w="840"/>
          </w:tcPr>
          <w:p>
            <w:r>
              <w:rPr>
                <w:sz w:val="12"/>
              </w:rPr>
              <w:t>2</w:t>
            </w:r>
          </w:p>
        </w:tc>
        <w:tc>
          <w:tcPr>
            <w:tcW w:type="dxa" w:w="840"/>
          </w:tcPr>
          <w:p>
            <w:r>
              <w:rPr>
                <w:sz w:val="12"/>
              </w:rPr>
              <w:t>2</w:t>
            </w:r>
          </w:p>
        </w:tc>
        <w:tc>
          <w:tcPr>
            <w:tcW w:type="dxa" w:w="840"/>
          </w:tcPr>
          <w:p>
            <w:r>
              <w:rPr>
                <w:sz w:val="12"/>
              </w:rPr>
              <w:t>7</w:t>
            </w:r>
          </w:p>
        </w:tc>
        <w:tc>
          <w:tcPr>
            <w:tcW w:type="dxa" w:w="840"/>
          </w:tcPr>
          <w:p>
            <w:r>
              <w:rPr>
                <w:sz w:val="12"/>
              </w:rPr>
              <w:t>0</w:t>
            </w:r>
          </w:p>
        </w:tc>
        <w:tc>
          <w:tcPr>
            <w:tcW w:type="dxa" w:w="840"/>
          </w:tcPr>
          <w:p>
            <w:r>
              <w:rPr>
                <w:sz w:val="12"/>
              </w:rPr>
              <w:t>-2.138</w:t>
            </w:r>
          </w:p>
        </w:tc>
        <w:tc>
          <w:tcPr>
            <w:tcW w:type="dxa" w:w="840"/>
          </w:tcPr>
          <w:p>
            <w:r>
              <w:rPr>
                <w:sz w:val="12"/>
              </w:rPr>
              <w:t>18.971</w:t>
            </w:r>
          </w:p>
        </w:tc>
      </w:tr>
      <w:tr>
        <w:trPr>
          <w:cantSplit/>
        </w:trPr>
        <w:tc>
          <w:tcPr>
            <w:tcW w:type="dxa" w:w="840"/>
          </w:tcPr>
          <w:p>
            <w:r>
              <w:rPr>
                <w:sz w:val="12"/>
              </w:rPr>
              <w:t>DMDBORN4</w:t>
            </w:r>
          </w:p>
        </w:tc>
        <w:tc>
          <w:tcPr>
            <w:tcW w:type="dxa" w:w="840"/>
          </w:tcPr>
          <w:p>
            <w:r>
              <w:rPr>
                <w:sz w:val="12"/>
              </w:rPr>
              <w:t>11914</w:t>
            </w:r>
          </w:p>
        </w:tc>
        <w:tc>
          <w:tcPr>
            <w:tcW w:type="dxa" w:w="840"/>
          </w:tcPr>
          <w:p>
            <w:r>
              <w:rPr>
                <w:sz w:val="12"/>
              </w:rPr>
              <w:t>1.157</w:t>
            </w:r>
          </w:p>
        </w:tc>
        <w:tc>
          <w:tcPr>
            <w:tcW w:type="dxa" w:w="840"/>
          </w:tcPr>
          <w:p>
            <w:r>
              <w:rPr>
                <w:sz w:val="12"/>
              </w:rPr>
              <w:t>0.364</w:t>
            </w:r>
          </w:p>
        </w:tc>
        <w:tc>
          <w:tcPr>
            <w:tcW w:type="dxa" w:w="840"/>
          </w:tcPr>
          <w:p>
            <w:r>
              <w:rPr>
                <w:sz w:val="12"/>
              </w:rPr>
              <w:t>1</w:t>
            </w:r>
          </w:p>
        </w:tc>
        <w:tc>
          <w:tcPr>
            <w:tcW w:type="dxa" w:w="840"/>
          </w:tcPr>
          <w:p>
            <w:r>
              <w:rPr>
                <w:sz w:val="12"/>
              </w:rPr>
              <w:t>1</w:t>
            </w:r>
          </w:p>
        </w:tc>
        <w:tc>
          <w:tcPr>
            <w:tcW w:type="dxa" w:w="840"/>
          </w:tcPr>
          <w:p>
            <w:r>
              <w:rPr>
                <w:sz w:val="12"/>
              </w:rPr>
              <w:t>1</w:t>
            </w:r>
          </w:p>
        </w:tc>
        <w:tc>
          <w:tcPr>
            <w:tcW w:type="dxa" w:w="840"/>
          </w:tcPr>
          <w:p>
            <w:r>
              <w:rPr>
                <w:sz w:val="12"/>
              </w:rPr>
              <w:t>1</w:t>
            </w:r>
          </w:p>
        </w:tc>
        <w:tc>
          <w:tcPr>
            <w:tcW w:type="dxa" w:w="840"/>
          </w:tcPr>
          <w:p>
            <w:r>
              <w:rPr>
                <w:sz w:val="12"/>
              </w:rPr>
              <w:t>2</w:t>
            </w:r>
          </w:p>
        </w:tc>
        <w:tc>
          <w:tcPr>
            <w:tcW w:type="dxa" w:w="840"/>
          </w:tcPr>
          <w:p>
            <w:r>
              <w:rPr>
                <w:sz w:val="12"/>
              </w:rPr>
              <w:t>0</w:t>
            </w:r>
          </w:p>
        </w:tc>
        <w:tc>
          <w:tcPr>
            <w:tcW w:type="dxa" w:w="840"/>
          </w:tcPr>
          <w:p>
            <w:r>
              <w:rPr>
                <w:sz w:val="12"/>
              </w:rPr>
              <w:t>1.882</w:t>
            </w:r>
          </w:p>
        </w:tc>
        <w:tc>
          <w:tcPr>
            <w:tcW w:type="dxa" w:w="840"/>
          </w:tcPr>
          <w:p>
            <w:r>
              <w:rPr>
                <w:sz w:val="12"/>
              </w:rPr>
              <w:t>1.542</w:t>
            </w:r>
          </w:p>
        </w:tc>
      </w:tr>
      <w:tr>
        <w:trPr>
          <w:cantSplit/>
        </w:trPr>
        <w:tc>
          <w:tcPr>
            <w:tcW w:type="dxa" w:w="840"/>
          </w:tcPr>
          <w:p>
            <w:r>
              <w:rPr>
                <w:sz w:val="12"/>
              </w:rPr>
              <w:t>DMDYRUSR</w:t>
            </w:r>
          </w:p>
        </w:tc>
        <w:tc>
          <w:tcPr>
            <w:tcW w:type="dxa" w:w="840"/>
          </w:tcPr>
          <w:p>
            <w:r>
              <w:rPr>
                <w:sz w:val="12"/>
              </w:rPr>
              <w:t>1875</w:t>
            </w:r>
          </w:p>
        </w:tc>
        <w:tc>
          <w:tcPr>
            <w:tcW w:type="dxa" w:w="840"/>
          </w:tcPr>
          <w:p>
            <w:r>
              <w:rPr>
                <w:sz w:val="12"/>
              </w:rPr>
              <w:t>7.335</w:t>
            </w:r>
          </w:p>
        </w:tc>
        <w:tc>
          <w:tcPr>
            <w:tcW w:type="dxa" w:w="840"/>
          </w:tcPr>
          <w:p>
            <w:r>
              <w:rPr>
                <w:sz w:val="12"/>
              </w:rPr>
              <w:t>15.829</w:t>
            </w:r>
          </w:p>
        </w:tc>
        <w:tc>
          <w:tcPr>
            <w:tcW w:type="dxa" w:w="840"/>
          </w:tcPr>
          <w:p>
            <w:r>
              <w:rPr>
                <w:sz w:val="12"/>
              </w:rPr>
              <w:t>1</w:t>
            </w:r>
          </w:p>
        </w:tc>
        <w:tc>
          <w:tcPr>
            <w:tcW w:type="dxa" w:w="840"/>
          </w:tcPr>
          <w:p>
            <w:r>
              <w:rPr>
                <w:sz w:val="12"/>
              </w:rPr>
              <w:t>3</w:t>
            </w:r>
          </w:p>
        </w:tc>
        <w:tc>
          <w:tcPr>
            <w:tcW w:type="dxa" w:w="840"/>
          </w:tcPr>
          <w:p>
            <w:r>
              <w:rPr>
                <w:sz w:val="12"/>
              </w:rPr>
              <w:t>6</w:t>
            </w:r>
          </w:p>
        </w:tc>
        <w:tc>
          <w:tcPr>
            <w:tcW w:type="dxa" w:w="840"/>
          </w:tcPr>
          <w:p>
            <w:r>
              <w:rPr>
                <w:sz w:val="12"/>
              </w:rPr>
              <w:t>6</w:t>
            </w:r>
          </w:p>
        </w:tc>
        <w:tc>
          <w:tcPr>
            <w:tcW w:type="dxa" w:w="840"/>
          </w:tcPr>
          <w:p>
            <w:r>
              <w:rPr>
                <w:sz w:val="12"/>
              </w:rPr>
              <w:t>99</w:t>
            </w:r>
          </w:p>
        </w:tc>
        <w:tc>
          <w:tcPr>
            <w:tcW w:type="dxa" w:w="840"/>
          </w:tcPr>
          <w:p>
            <w:r>
              <w:rPr>
                <w:sz w:val="12"/>
              </w:rPr>
              <w:t>3</w:t>
            </w:r>
          </w:p>
        </w:tc>
        <w:tc>
          <w:tcPr>
            <w:tcW w:type="dxa" w:w="840"/>
          </w:tcPr>
          <w:p>
            <w:r>
              <w:rPr>
                <w:sz w:val="12"/>
              </w:rPr>
              <w:t>5.351</w:t>
            </w:r>
          </w:p>
        </w:tc>
        <w:tc>
          <w:tcPr>
            <w:tcW w:type="dxa" w:w="840"/>
          </w:tcPr>
          <w:p>
            <w:r>
              <w:rPr>
                <w:sz w:val="12"/>
              </w:rPr>
              <w:t>27.303</w:t>
            </w:r>
          </w:p>
        </w:tc>
      </w:tr>
      <w:tr>
        <w:trPr>
          <w:cantSplit/>
        </w:trPr>
        <w:tc>
          <w:tcPr>
            <w:tcW w:type="dxa" w:w="840"/>
          </w:tcPr>
          <w:p>
            <w:r>
              <w:rPr>
                <w:sz w:val="12"/>
              </w:rPr>
              <w:t>DMDEDUC2</w:t>
            </w:r>
          </w:p>
        </w:tc>
        <w:tc>
          <w:tcPr>
            <w:tcW w:type="dxa" w:w="840"/>
          </w:tcPr>
          <w:p>
            <w:r>
              <w:rPr>
                <w:sz w:val="12"/>
              </w:rPr>
              <w:t>7794</w:t>
            </w:r>
          </w:p>
        </w:tc>
        <w:tc>
          <w:tcPr>
            <w:tcW w:type="dxa" w:w="840"/>
          </w:tcPr>
          <w:p>
            <w:r>
              <w:rPr>
                <w:sz w:val="12"/>
              </w:rPr>
              <w:t>3.805</w:t>
            </w:r>
          </w:p>
        </w:tc>
        <w:tc>
          <w:tcPr>
            <w:tcW w:type="dxa" w:w="840"/>
          </w:tcPr>
          <w:p>
            <w:r>
              <w:rPr>
                <w:sz w:val="12"/>
              </w:rPr>
              <w:t>1.154</w:t>
            </w:r>
          </w:p>
        </w:tc>
        <w:tc>
          <w:tcPr>
            <w:tcW w:type="dxa" w:w="840"/>
          </w:tcPr>
          <w:p>
            <w:r>
              <w:rPr>
                <w:sz w:val="12"/>
              </w:rPr>
              <w:t>1</w:t>
            </w:r>
          </w:p>
        </w:tc>
        <w:tc>
          <w:tcPr>
            <w:tcW w:type="dxa" w:w="840"/>
          </w:tcPr>
          <w:p>
            <w:r>
              <w:rPr>
                <w:sz w:val="12"/>
              </w:rPr>
              <w:t>3</w:t>
            </w:r>
          </w:p>
        </w:tc>
        <w:tc>
          <w:tcPr>
            <w:tcW w:type="dxa" w:w="840"/>
          </w:tcPr>
          <w:p>
            <w:r>
              <w:rPr>
                <w:sz w:val="12"/>
              </w:rPr>
              <w:t>4</w:t>
            </w:r>
          </w:p>
        </w:tc>
        <w:tc>
          <w:tcPr>
            <w:tcW w:type="dxa" w:w="840"/>
          </w:tcPr>
          <w:p>
            <w:r>
              <w:rPr>
                <w:sz w:val="12"/>
              </w:rPr>
              <w:t>5</w:t>
            </w:r>
          </w:p>
        </w:tc>
        <w:tc>
          <w:tcPr>
            <w:tcW w:type="dxa" w:w="840"/>
          </w:tcPr>
          <w:p>
            <w:r>
              <w:rPr>
                <w:sz w:val="12"/>
              </w:rPr>
              <w:t>9</w:t>
            </w:r>
          </w:p>
        </w:tc>
        <w:tc>
          <w:tcPr>
            <w:tcW w:type="dxa" w:w="840"/>
          </w:tcPr>
          <w:p>
            <w:r>
              <w:rPr>
                <w:sz w:val="12"/>
              </w:rPr>
              <w:t>2</w:t>
            </w:r>
          </w:p>
        </w:tc>
        <w:tc>
          <w:tcPr>
            <w:tcW w:type="dxa" w:w="840"/>
          </w:tcPr>
          <w:p>
            <w:r>
              <w:rPr>
                <w:sz w:val="12"/>
              </w:rPr>
              <w:t>-0.587</w:t>
            </w:r>
          </w:p>
        </w:tc>
        <w:tc>
          <w:tcPr>
            <w:tcW w:type="dxa" w:w="840"/>
          </w:tcPr>
          <w:p>
            <w:r>
              <w:rPr>
                <w:sz w:val="12"/>
              </w:rPr>
              <w:t>0.207</w:t>
            </w:r>
          </w:p>
        </w:tc>
      </w:tr>
      <w:tr>
        <w:trPr>
          <w:cantSplit/>
        </w:trPr>
        <w:tc>
          <w:tcPr>
            <w:tcW w:type="dxa" w:w="840"/>
          </w:tcPr>
          <w:p>
            <w:r>
              <w:rPr>
                <w:sz w:val="12"/>
              </w:rPr>
              <w:t>DMDMARTZ</w:t>
            </w:r>
          </w:p>
        </w:tc>
        <w:tc>
          <w:tcPr>
            <w:tcW w:type="dxa" w:w="840"/>
          </w:tcPr>
          <w:p>
            <w:r>
              <w:rPr>
                <w:sz w:val="12"/>
              </w:rPr>
              <w:t>7792</w:t>
            </w:r>
          </w:p>
        </w:tc>
        <w:tc>
          <w:tcPr>
            <w:tcW w:type="dxa" w:w="840"/>
          </w:tcPr>
          <w:p>
            <w:r>
              <w:rPr>
                <w:sz w:val="12"/>
              </w:rPr>
              <w:t>1.778</w:t>
            </w:r>
          </w:p>
        </w:tc>
        <w:tc>
          <w:tcPr>
            <w:tcW w:type="dxa" w:w="840"/>
          </w:tcPr>
          <w:p>
            <w:r>
              <w:rPr>
                <w:sz w:val="12"/>
              </w:rPr>
              <w:t>3.101</w:t>
            </w:r>
          </w:p>
        </w:tc>
        <w:tc>
          <w:tcPr>
            <w:tcW w:type="dxa" w:w="840"/>
          </w:tcPr>
          <w:p>
            <w:r>
              <w:rPr>
                <w:sz w:val="12"/>
              </w:rPr>
              <w:t>1</w:t>
            </w:r>
          </w:p>
        </w:tc>
        <w:tc>
          <w:tcPr>
            <w:tcW w:type="dxa" w:w="840"/>
          </w:tcPr>
          <w:p>
            <w:r>
              <w:rPr>
                <w:sz w:val="12"/>
              </w:rPr>
              <w:t>1</w:t>
            </w:r>
          </w:p>
        </w:tc>
        <w:tc>
          <w:tcPr>
            <w:tcW w:type="dxa" w:w="840"/>
          </w:tcPr>
          <w:p>
            <w:r>
              <w:rPr>
                <w:sz w:val="12"/>
              </w:rPr>
              <w:t>1</w:t>
            </w:r>
          </w:p>
        </w:tc>
        <w:tc>
          <w:tcPr>
            <w:tcW w:type="dxa" w:w="840"/>
          </w:tcPr>
          <w:p>
            <w:r>
              <w:rPr>
                <w:sz w:val="12"/>
              </w:rPr>
              <w:t>2</w:t>
            </w:r>
          </w:p>
        </w:tc>
        <w:tc>
          <w:tcPr>
            <w:tcW w:type="dxa" w:w="840"/>
          </w:tcPr>
          <w:p>
            <w:r>
              <w:rPr>
                <w:sz w:val="12"/>
              </w:rPr>
              <w:t>99</w:t>
            </w:r>
          </w:p>
        </w:tc>
        <w:tc>
          <w:tcPr>
            <w:tcW w:type="dxa" w:w="840"/>
          </w:tcPr>
          <w:p>
            <w:r>
              <w:rPr>
                <w:sz w:val="12"/>
              </w:rPr>
              <w:t>1</w:t>
            </w:r>
          </w:p>
        </w:tc>
        <w:tc>
          <w:tcPr>
            <w:tcW w:type="dxa" w:w="840"/>
          </w:tcPr>
          <w:p>
            <w:r>
              <w:rPr>
                <w:sz w:val="12"/>
              </w:rPr>
              <w:t>27.114</w:t>
            </w:r>
          </w:p>
        </w:tc>
        <w:tc>
          <w:tcPr>
            <w:tcW w:type="dxa" w:w="840"/>
          </w:tcPr>
          <w:p>
            <w:r>
              <w:rPr>
                <w:sz w:val="12"/>
              </w:rPr>
              <w:t>795.335</w:t>
            </w:r>
          </w:p>
        </w:tc>
      </w:tr>
      <w:tr>
        <w:trPr>
          <w:cantSplit/>
        </w:trPr>
        <w:tc>
          <w:tcPr>
            <w:tcW w:type="dxa" w:w="840"/>
          </w:tcPr>
          <w:p>
            <w:r>
              <w:rPr>
                <w:sz w:val="12"/>
              </w:rPr>
              <w:t>RIDEXPRG</w:t>
            </w:r>
          </w:p>
        </w:tc>
        <w:tc>
          <w:tcPr>
            <w:tcW w:type="dxa" w:w="840"/>
          </w:tcPr>
          <w:p>
            <w:r>
              <w:rPr>
                <w:sz w:val="12"/>
              </w:rPr>
              <w:t>1503</w:t>
            </w:r>
          </w:p>
        </w:tc>
        <w:tc>
          <w:tcPr>
            <w:tcW w:type="dxa" w:w="840"/>
          </w:tcPr>
          <w:p>
            <w:r>
              <w:rPr>
                <w:sz w:val="12"/>
              </w:rPr>
              <w:t>2.237</w:t>
            </w:r>
          </w:p>
        </w:tc>
        <w:tc>
          <w:tcPr>
            <w:tcW w:type="dxa" w:w="840"/>
          </w:tcPr>
          <w:p>
            <w:r>
              <w:rPr>
                <w:sz w:val="12"/>
              </w:rPr>
              <w:t>0.485</w:t>
            </w:r>
          </w:p>
        </w:tc>
        <w:tc>
          <w:tcPr>
            <w:tcW w:type="dxa" w:w="840"/>
          </w:tcPr>
          <w:p>
            <w:r>
              <w:rPr>
                <w:sz w:val="12"/>
              </w:rPr>
              <w:t>1</w:t>
            </w:r>
          </w:p>
        </w:tc>
        <w:tc>
          <w:tcPr>
            <w:tcW w:type="dxa" w:w="840"/>
          </w:tcPr>
          <w:p>
            <w:r>
              <w:rPr>
                <w:sz w:val="12"/>
              </w:rPr>
              <w:t>2</w:t>
            </w:r>
          </w:p>
        </w:tc>
        <w:tc>
          <w:tcPr>
            <w:tcW w:type="dxa" w:w="840"/>
          </w:tcPr>
          <w:p>
            <w:r>
              <w:rPr>
                <w:sz w:val="12"/>
              </w:rPr>
              <w:t>2</w:t>
            </w:r>
          </w:p>
        </w:tc>
        <w:tc>
          <w:tcPr>
            <w:tcW w:type="dxa" w:w="840"/>
          </w:tcPr>
          <w:p>
            <w:r>
              <w:rPr>
                <w:sz w:val="12"/>
              </w:rPr>
              <w:t>3</w:t>
            </w:r>
          </w:p>
        </w:tc>
        <w:tc>
          <w:tcPr>
            <w:tcW w:type="dxa" w:w="840"/>
          </w:tcPr>
          <w:p>
            <w:r>
              <w:rPr>
                <w:sz w:val="12"/>
              </w:rPr>
              <w:t>3</w:t>
            </w:r>
          </w:p>
        </w:tc>
        <w:tc>
          <w:tcPr>
            <w:tcW w:type="dxa" w:w="840"/>
          </w:tcPr>
          <w:p>
            <w:r>
              <w:rPr>
                <w:sz w:val="12"/>
              </w:rPr>
              <w:t>1</w:t>
            </w:r>
          </w:p>
        </w:tc>
        <w:tc>
          <w:tcPr>
            <w:tcW w:type="dxa" w:w="840"/>
          </w:tcPr>
          <w:p>
            <w:r>
              <w:rPr>
                <w:sz w:val="12"/>
              </w:rPr>
              <w:t>0.494</w:t>
            </w:r>
          </w:p>
        </w:tc>
        <w:tc>
          <w:tcPr>
            <w:tcW w:type="dxa" w:w="840"/>
          </w:tcPr>
          <w:p>
            <w:r>
              <w:rPr>
                <w:sz w:val="12"/>
              </w:rPr>
              <w:t>-0.186</w:t>
            </w:r>
          </w:p>
        </w:tc>
      </w:tr>
      <w:tr>
        <w:trPr>
          <w:cantSplit/>
        </w:trPr>
        <w:tc>
          <w:tcPr>
            <w:tcW w:type="dxa" w:w="840"/>
          </w:tcPr>
          <w:p>
            <w:r>
              <w:rPr>
                <w:sz w:val="12"/>
              </w:rPr>
              <w:t>DMDHHSIZ</w:t>
            </w:r>
          </w:p>
        </w:tc>
        <w:tc>
          <w:tcPr>
            <w:tcW w:type="dxa" w:w="840"/>
          </w:tcPr>
          <w:p>
            <w:r>
              <w:rPr>
                <w:sz w:val="12"/>
              </w:rPr>
              <w:t>11933</w:t>
            </w:r>
          </w:p>
        </w:tc>
        <w:tc>
          <w:tcPr>
            <w:tcW w:type="dxa" w:w="840"/>
          </w:tcPr>
          <w:p>
            <w:r>
              <w:rPr>
                <w:sz w:val="12"/>
              </w:rPr>
              <w:t>3.243</w:t>
            </w:r>
          </w:p>
        </w:tc>
        <w:tc>
          <w:tcPr>
            <w:tcW w:type="dxa" w:w="840"/>
          </w:tcPr>
          <w:p>
            <w:r>
              <w:rPr>
                <w:sz w:val="12"/>
              </w:rPr>
              <w:t>1.700</w:t>
            </w:r>
          </w:p>
        </w:tc>
        <w:tc>
          <w:tcPr>
            <w:tcW w:type="dxa" w:w="840"/>
          </w:tcPr>
          <w:p>
            <w:r>
              <w:rPr>
                <w:sz w:val="12"/>
              </w:rPr>
              <w:t>1</w:t>
            </w:r>
          </w:p>
        </w:tc>
        <w:tc>
          <w:tcPr>
            <w:tcW w:type="dxa" w:w="840"/>
          </w:tcPr>
          <w:p>
            <w:r>
              <w:rPr>
                <w:sz w:val="12"/>
              </w:rPr>
              <w:t>2</w:t>
            </w:r>
          </w:p>
        </w:tc>
        <w:tc>
          <w:tcPr>
            <w:tcW w:type="dxa" w:w="840"/>
          </w:tcPr>
          <w:p>
            <w:r>
              <w:rPr>
                <w:sz w:val="12"/>
              </w:rPr>
              <w:t>3</w:t>
            </w:r>
          </w:p>
        </w:tc>
        <w:tc>
          <w:tcPr>
            <w:tcW w:type="dxa" w:w="840"/>
          </w:tcPr>
          <w:p>
            <w:r>
              <w:rPr>
                <w:sz w:val="12"/>
              </w:rPr>
              <w:t>4</w:t>
            </w:r>
          </w:p>
        </w:tc>
        <w:tc>
          <w:tcPr>
            <w:tcW w:type="dxa" w:w="840"/>
          </w:tcPr>
          <w:p>
            <w:r>
              <w:rPr>
                <w:sz w:val="12"/>
              </w:rPr>
              <w:t>7</w:t>
            </w:r>
          </w:p>
        </w:tc>
        <w:tc>
          <w:tcPr>
            <w:tcW w:type="dxa" w:w="840"/>
          </w:tcPr>
          <w:p>
            <w:r>
              <w:rPr>
                <w:sz w:val="12"/>
              </w:rPr>
              <w:t>2</w:t>
            </w:r>
          </w:p>
        </w:tc>
        <w:tc>
          <w:tcPr>
            <w:tcW w:type="dxa" w:w="840"/>
          </w:tcPr>
          <w:p>
            <w:r>
              <w:rPr>
                <w:sz w:val="12"/>
              </w:rPr>
              <w:t>0.503</w:t>
            </w:r>
          </w:p>
        </w:tc>
        <w:tc>
          <w:tcPr>
            <w:tcW w:type="dxa" w:w="840"/>
          </w:tcPr>
          <w:p>
            <w:r>
              <w:rPr>
                <w:sz w:val="12"/>
              </w:rPr>
              <w:t>-0.627</w:t>
            </w:r>
          </w:p>
        </w:tc>
      </w:tr>
      <w:tr>
        <w:trPr>
          <w:cantSplit/>
        </w:trPr>
        <w:tc>
          <w:tcPr>
            <w:tcW w:type="dxa" w:w="840"/>
          </w:tcPr>
          <w:p>
            <w:r>
              <w:rPr>
                <w:sz w:val="12"/>
              </w:rPr>
              <w:t>DMDHRGND</w:t>
            </w:r>
          </w:p>
        </w:tc>
        <w:tc>
          <w:tcPr>
            <w:tcW w:type="dxa" w:w="840"/>
          </w:tcPr>
          <w:p>
            <w:r>
              <w:rPr>
                <w:sz w:val="12"/>
              </w:rPr>
              <w:t>4115</w:t>
            </w:r>
          </w:p>
        </w:tc>
        <w:tc>
          <w:tcPr>
            <w:tcW w:type="dxa" w:w="840"/>
          </w:tcPr>
          <w:p>
            <w:r>
              <w:rPr>
                <w:sz w:val="12"/>
              </w:rPr>
              <w:t>1.564</w:t>
            </w:r>
          </w:p>
        </w:tc>
        <w:tc>
          <w:tcPr>
            <w:tcW w:type="dxa" w:w="840"/>
          </w:tcPr>
          <w:p>
            <w:r>
              <w:rPr>
                <w:sz w:val="12"/>
              </w:rPr>
              <w:t>0.496</w:t>
            </w:r>
          </w:p>
        </w:tc>
        <w:tc>
          <w:tcPr>
            <w:tcW w:type="dxa" w:w="840"/>
          </w:tcPr>
          <w:p>
            <w:r>
              <w:rPr>
                <w:sz w:val="12"/>
              </w:rPr>
              <w:t>1</w:t>
            </w:r>
          </w:p>
        </w:tc>
        <w:tc>
          <w:tcPr>
            <w:tcW w:type="dxa" w:w="840"/>
          </w:tcPr>
          <w:p>
            <w:r>
              <w:rPr>
                <w:sz w:val="12"/>
              </w:rPr>
              <w:t>1</w:t>
            </w:r>
          </w:p>
        </w:tc>
        <w:tc>
          <w:tcPr>
            <w:tcW w:type="dxa" w:w="840"/>
          </w:tcPr>
          <w:p>
            <w:r>
              <w:rPr>
                <w:sz w:val="12"/>
              </w:rPr>
              <w:t>2</w:t>
            </w:r>
          </w:p>
        </w:tc>
        <w:tc>
          <w:tcPr>
            <w:tcW w:type="dxa" w:w="840"/>
          </w:tcPr>
          <w:p>
            <w:r>
              <w:rPr>
                <w:sz w:val="12"/>
              </w:rPr>
              <w:t>2</w:t>
            </w:r>
          </w:p>
        </w:tc>
        <w:tc>
          <w:tcPr>
            <w:tcW w:type="dxa" w:w="840"/>
          </w:tcPr>
          <w:p>
            <w:r>
              <w:rPr>
                <w:sz w:val="12"/>
              </w:rPr>
              <w:t>2</w:t>
            </w:r>
          </w:p>
        </w:tc>
        <w:tc>
          <w:tcPr>
            <w:tcW w:type="dxa" w:w="840"/>
          </w:tcPr>
          <w:p>
            <w:r>
              <w:rPr>
                <w:sz w:val="12"/>
              </w:rPr>
              <w:t>1</w:t>
            </w:r>
          </w:p>
        </w:tc>
        <w:tc>
          <w:tcPr>
            <w:tcW w:type="dxa" w:w="840"/>
          </w:tcPr>
          <w:p>
            <w:r>
              <w:rPr>
                <w:sz w:val="12"/>
              </w:rPr>
              <w:t>-0.259</w:t>
            </w:r>
          </w:p>
        </w:tc>
        <w:tc>
          <w:tcPr>
            <w:tcW w:type="dxa" w:w="840"/>
          </w:tcPr>
          <w:p>
            <w:r>
              <w:rPr>
                <w:sz w:val="12"/>
              </w:rPr>
              <w:t>-1.934</w:t>
            </w:r>
          </w:p>
        </w:tc>
      </w:tr>
      <w:tr>
        <w:trPr>
          <w:cantSplit/>
        </w:trPr>
        <w:tc>
          <w:tcPr>
            <w:tcW w:type="dxa" w:w="840"/>
          </w:tcPr>
          <w:p>
            <w:r>
              <w:rPr>
                <w:sz w:val="12"/>
              </w:rPr>
              <w:t>DMDHRAGZ</w:t>
            </w:r>
          </w:p>
        </w:tc>
        <w:tc>
          <w:tcPr>
            <w:tcW w:type="dxa" w:w="840"/>
          </w:tcPr>
          <w:p>
            <w:r>
              <w:rPr>
                <w:sz w:val="12"/>
              </w:rPr>
              <w:t>4124</w:t>
            </w:r>
          </w:p>
        </w:tc>
        <w:tc>
          <w:tcPr>
            <w:tcW w:type="dxa" w:w="840"/>
          </w:tcPr>
          <w:p>
            <w:r>
              <w:rPr>
                <w:sz w:val="12"/>
              </w:rPr>
              <w:t>2.540</w:t>
            </w:r>
          </w:p>
        </w:tc>
        <w:tc>
          <w:tcPr>
            <w:tcW w:type="dxa" w:w="840"/>
          </w:tcPr>
          <w:p>
            <w:r>
              <w:rPr>
                <w:sz w:val="12"/>
              </w:rPr>
              <w:t>0.641</w:t>
            </w:r>
          </w:p>
        </w:tc>
        <w:tc>
          <w:tcPr>
            <w:tcW w:type="dxa" w:w="840"/>
          </w:tcPr>
          <w:p>
            <w:r>
              <w:rPr>
                <w:sz w:val="12"/>
              </w:rPr>
              <w:t>1</w:t>
            </w:r>
          </w:p>
        </w:tc>
        <w:tc>
          <w:tcPr>
            <w:tcW w:type="dxa" w:w="840"/>
          </w:tcPr>
          <w:p>
            <w:r>
              <w:rPr>
                <w:sz w:val="12"/>
              </w:rPr>
              <w:t>2</w:t>
            </w:r>
          </w:p>
        </w:tc>
        <w:tc>
          <w:tcPr>
            <w:tcW w:type="dxa" w:w="840"/>
          </w:tcPr>
          <w:p>
            <w:r>
              <w:rPr>
                <w:sz w:val="12"/>
              </w:rPr>
              <w:t>2</w:t>
            </w:r>
          </w:p>
        </w:tc>
        <w:tc>
          <w:tcPr>
            <w:tcW w:type="dxa" w:w="840"/>
          </w:tcPr>
          <w:p>
            <w:r>
              <w:rPr>
                <w:sz w:val="12"/>
              </w:rPr>
              <w:t>3</w:t>
            </w:r>
          </w:p>
        </w:tc>
        <w:tc>
          <w:tcPr>
            <w:tcW w:type="dxa" w:w="840"/>
          </w:tcPr>
          <w:p>
            <w:r>
              <w:rPr>
                <w:sz w:val="12"/>
              </w:rPr>
              <w:t>4</w:t>
            </w:r>
          </w:p>
        </w:tc>
        <w:tc>
          <w:tcPr>
            <w:tcW w:type="dxa" w:w="840"/>
          </w:tcPr>
          <w:p>
            <w:r>
              <w:rPr>
                <w:sz w:val="12"/>
              </w:rPr>
              <w:t>1</w:t>
            </w:r>
          </w:p>
        </w:tc>
        <w:tc>
          <w:tcPr>
            <w:tcW w:type="dxa" w:w="840"/>
          </w:tcPr>
          <w:p>
            <w:r>
              <w:rPr>
                <w:sz w:val="12"/>
              </w:rPr>
              <w:t>0.319</w:t>
            </w:r>
          </w:p>
        </w:tc>
        <w:tc>
          <w:tcPr>
            <w:tcW w:type="dxa" w:w="840"/>
          </w:tcPr>
          <w:p>
            <w:r>
              <w:rPr>
                <w:sz w:val="12"/>
              </w:rPr>
              <w:t>-0.325</w:t>
            </w:r>
          </w:p>
        </w:tc>
      </w:tr>
      <w:tr>
        <w:trPr>
          <w:cantSplit/>
        </w:trPr>
        <w:tc>
          <w:tcPr>
            <w:tcW w:type="dxa" w:w="840"/>
          </w:tcPr>
          <w:p>
            <w:r>
              <w:rPr>
                <w:sz w:val="12"/>
              </w:rPr>
              <w:t>DMDHREDZ</w:t>
            </w:r>
          </w:p>
        </w:tc>
        <w:tc>
          <w:tcPr>
            <w:tcW w:type="dxa" w:w="840"/>
          </w:tcPr>
          <w:p>
            <w:r>
              <w:rPr>
                <w:sz w:val="12"/>
              </w:rPr>
              <w:t>3746</w:t>
            </w:r>
          </w:p>
        </w:tc>
        <w:tc>
          <w:tcPr>
            <w:tcW w:type="dxa" w:w="840"/>
          </w:tcPr>
          <w:p>
            <w:r>
              <w:rPr>
                <w:sz w:val="12"/>
              </w:rPr>
              <w:t>2.171</w:t>
            </w:r>
          </w:p>
        </w:tc>
        <w:tc>
          <w:tcPr>
            <w:tcW w:type="dxa" w:w="840"/>
          </w:tcPr>
          <w:p>
            <w:r>
              <w:rPr>
                <w:sz w:val="12"/>
              </w:rPr>
              <w:t>0.660</w:t>
            </w:r>
          </w:p>
        </w:tc>
        <w:tc>
          <w:tcPr>
            <w:tcW w:type="dxa" w:w="840"/>
          </w:tcPr>
          <w:p>
            <w:r>
              <w:rPr>
                <w:sz w:val="12"/>
              </w:rPr>
              <w:t>1</w:t>
            </w:r>
          </w:p>
        </w:tc>
        <w:tc>
          <w:tcPr>
            <w:tcW w:type="dxa" w:w="840"/>
          </w:tcPr>
          <w:p>
            <w:r>
              <w:rPr>
                <w:sz w:val="12"/>
              </w:rPr>
              <w:t>2</w:t>
            </w:r>
          </w:p>
        </w:tc>
        <w:tc>
          <w:tcPr>
            <w:tcW w:type="dxa" w:w="840"/>
          </w:tcPr>
          <w:p>
            <w:r>
              <w:rPr>
                <w:sz w:val="12"/>
              </w:rPr>
              <w:t>2</w:t>
            </w:r>
          </w:p>
        </w:tc>
        <w:tc>
          <w:tcPr>
            <w:tcW w:type="dxa" w:w="840"/>
          </w:tcPr>
          <w:p>
            <w:r>
              <w:rPr>
                <w:sz w:val="12"/>
              </w:rPr>
              <w:t>3</w:t>
            </w:r>
          </w:p>
        </w:tc>
        <w:tc>
          <w:tcPr>
            <w:tcW w:type="dxa" w:w="840"/>
          </w:tcPr>
          <w:p>
            <w:r>
              <w:rPr>
                <w:sz w:val="12"/>
              </w:rPr>
              <w:t>3</w:t>
            </w:r>
          </w:p>
        </w:tc>
        <w:tc>
          <w:tcPr>
            <w:tcW w:type="dxa" w:w="840"/>
          </w:tcPr>
          <w:p>
            <w:r>
              <w:rPr>
                <w:sz w:val="12"/>
              </w:rPr>
              <w:t>1</w:t>
            </w:r>
          </w:p>
        </w:tc>
        <w:tc>
          <w:tcPr>
            <w:tcW w:type="dxa" w:w="840"/>
          </w:tcPr>
          <w:p>
            <w:r>
              <w:rPr>
                <w:sz w:val="12"/>
              </w:rPr>
              <w:t>-0.201</w:t>
            </w:r>
          </w:p>
        </w:tc>
        <w:tc>
          <w:tcPr>
            <w:tcW w:type="dxa" w:w="840"/>
          </w:tcPr>
          <w:p>
            <w:r>
              <w:rPr>
                <w:sz w:val="12"/>
              </w:rPr>
              <w:t>-0.750</w:t>
            </w:r>
          </w:p>
        </w:tc>
      </w:tr>
      <w:tr>
        <w:trPr>
          <w:cantSplit/>
        </w:trPr>
        <w:tc>
          <w:tcPr>
            <w:tcW w:type="dxa" w:w="840"/>
          </w:tcPr>
          <w:p>
            <w:r>
              <w:rPr>
                <w:sz w:val="12"/>
              </w:rPr>
              <w:t>DMDHRMAZ</w:t>
            </w:r>
          </w:p>
        </w:tc>
        <w:tc>
          <w:tcPr>
            <w:tcW w:type="dxa" w:w="840"/>
          </w:tcPr>
          <w:p>
            <w:r>
              <w:rPr>
                <w:sz w:val="12"/>
              </w:rPr>
              <w:t>4020</w:t>
            </w:r>
          </w:p>
        </w:tc>
        <w:tc>
          <w:tcPr>
            <w:tcW w:type="dxa" w:w="840"/>
          </w:tcPr>
          <w:p>
            <w:r>
              <w:rPr>
                <w:sz w:val="12"/>
              </w:rPr>
              <w:t>1.381</w:t>
            </w:r>
          </w:p>
        </w:tc>
        <w:tc>
          <w:tcPr>
            <w:tcW w:type="dxa" w:w="840"/>
          </w:tcPr>
          <w:p>
            <w:r>
              <w:rPr>
                <w:sz w:val="12"/>
              </w:rPr>
              <w:t>0.681</w:t>
            </w:r>
          </w:p>
        </w:tc>
        <w:tc>
          <w:tcPr>
            <w:tcW w:type="dxa" w:w="840"/>
          </w:tcPr>
          <w:p>
            <w:r>
              <w:rPr>
                <w:sz w:val="12"/>
              </w:rPr>
              <w:t>1</w:t>
            </w:r>
          </w:p>
        </w:tc>
        <w:tc>
          <w:tcPr>
            <w:tcW w:type="dxa" w:w="840"/>
          </w:tcPr>
          <w:p>
            <w:r>
              <w:rPr>
                <w:sz w:val="12"/>
              </w:rPr>
              <w:t>1</w:t>
            </w:r>
          </w:p>
        </w:tc>
        <w:tc>
          <w:tcPr>
            <w:tcW w:type="dxa" w:w="840"/>
          </w:tcPr>
          <w:p>
            <w:r>
              <w:rPr>
                <w:sz w:val="12"/>
              </w:rPr>
              <w:t>1</w:t>
            </w:r>
          </w:p>
        </w:tc>
        <w:tc>
          <w:tcPr>
            <w:tcW w:type="dxa" w:w="840"/>
          </w:tcPr>
          <w:p>
            <w:r>
              <w:rPr>
                <w:sz w:val="12"/>
              </w:rPr>
              <w:t>2</w:t>
            </w:r>
          </w:p>
        </w:tc>
        <w:tc>
          <w:tcPr>
            <w:tcW w:type="dxa" w:w="840"/>
          </w:tcPr>
          <w:p>
            <w:r>
              <w:rPr>
                <w:sz w:val="12"/>
              </w:rPr>
              <w:t>3</w:t>
            </w:r>
          </w:p>
        </w:tc>
        <w:tc>
          <w:tcPr>
            <w:tcW w:type="dxa" w:w="840"/>
          </w:tcPr>
          <w:p>
            <w:r>
              <w:rPr>
                <w:sz w:val="12"/>
              </w:rPr>
              <w:t>1</w:t>
            </w:r>
          </w:p>
        </w:tc>
        <w:tc>
          <w:tcPr>
            <w:tcW w:type="dxa" w:w="840"/>
          </w:tcPr>
          <w:p>
            <w:r>
              <w:rPr>
                <w:sz w:val="12"/>
              </w:rPr>
              <w:t>1.518</w:t>
            </w:r>
          </w:p>
        </w:tc>
        <w:tc>
          <w:tcPr>
            <w:tcW w:type="dxa" w:w="840"/>
          </w:tcPr>
          <w:p>
            <w:r>
              <w:rPr>
                <w:sz w:val="12"/>
              </w:rPr>
              <w:t>0.818</w:t>
            </w:r>
          </w:p>
        </w:tc>
      </w:tr>
      <w:tr>
        <w:trPr>
          <w:cantSplit/>
        </w:trPr>
        <w:tc>
          <w:tcPr>
            <w:tcW w:type="dxa" w:w="840"/>
          </w:tcPr>
          <w:p>
            <w:r>
              <w:rPr>
                <w:sz w:val="12"/>
              </w:rPr>
              <w:t>DMDHSEDZ</w:t>
            </w:r>
          </w:p>
        </w:tc>
        <w:tc>
          <w:tcPr>
            <w:tcW w:type="dxa" w:w="840"/>
          </w:tcPr>
          <w:p>
            <w:r>
              <w:rPr>
                <w:sz w:val="12"/>
              </w:rPr>
              <w:t>2127</w:t>
            </w:r>
          </w:p>
        </w:tc>
        <w:tc>
          <w:tcPr>
            <w:tcW w:type="dxa" w:w="840"/>
          </w:tcPr>
          <w:p>
            <w:r>
              <w:rPr>
                <w:sz w:val="12"/>
              </w:rPr>
              <w:t>2.275</w:t>
            </w:r>
          </w:p>
        </w:tc>
        <w:tc>
          <w:tcPr>
            <w:tcW w:type="dxa" w:w="840"/>
          </w:tcPr>
          <w:p>
            <w:r>
              <w:rPr>
                <w:sz w:val="12"/>
              </w:rPr>
              <w:t>0.694</w:t>
            </w:r>
          </w:p>
        </w:tc>
        <w:tc>
          <w:tcPr>
            <w:tcW w:type="dxa" w:w="840"/>
          </w:tcPr>
          <w:p>
            <w:r>
              <w:rPr>
                <w:sz w:val="12"/>
              </w:rPr>
              <w:t>1</w:t>
            </w:r>
          </w:p>
        </w:tc>
        <w:tc>
          <w:tcPr>
            <w:tcW w:type="dxa" w:w="840"/>
          </w:tcPr>
          <w:p>
            <w:r>
              <w:rPr>
                <w:sz w:val="12"/>
              </w:rPr>
              <w:t>2</w:t>
            </w:r>
          </w:p>
        </w:tc>
        <w:tc>
          <w:tcPr>
            <w:tcW w:type="dxa" w:w="840"/>
          </w:tcPr>
          <w:p>
            <w:r>
              <w:rPr>
                <w:sz w:val="12"/>
              </w:rPr>
              <w:t>2</w:t>
            </w:r>
          </w:p>
        </w:tc>
        <w:tc>
          <w:tcPr>
            <w:tcW w:type="dxa" w:w="840"/>
          </w:tcPr>
          <w:p>
            <w:r>
              <w:rPr>
                <w:sz w:val="12"/>
              </w:rPr>
              <w:t>3</w:t>
            </w:r>
          </w:p>
        </w:tc>
        <w:tc>
          <w:tcPr>
            <w:tcW w:type="dxa" w:w="840"/>
          </w:tcPr>
          <w:p>
            <w:r>
              <w:rPr>
                <w:sz w:val="12"/>
              </w:rPr>
              <w:t>3</w:t>
            </w:r>
          </w:p>
        </w:tc>
        <w:tc>
          <w:tcPr>
            <w:tcW w:type="dxa" w:w="840"/>
          </w:tcPr>
          <w:p>
            <w:r>
              <w:rPr>
                <w:sz w:val="12"/>
              </w:rPr>
              <w:t>1</w:t>
            </w:r>
          </w:p>
        </w:tc>
        <w:tc>
          <w:tcPr>
            <w:tcW w:type="dxa" w:w="840"/>
          </w:tcPr>
          <w:p>
            <w:r>
              <w:rPr>
                <w:sz w:val="12"/>
              </w:rPr>
              <w:t>-0.428</w:t>
            </w:r>
          </w:p>
        </w:tc>
        <w:tc>
          <w:tcPr>
            <w:tcW w:type="dxa" w:w="840"/>
          </w:tcPr>
          <w:p>
            <w:r>
              <w:rPr>
                <w:sz w:val="12"/>
              </w:rPr>
              <w:t>-0.885</w:t>
            </w:r>
          </w:p>
        </w:tc>
      </w:tr>
      <w:tr>
        <w:trPr>
          <w:cantSplit/>
        </w:trPr>
        <w:tc>
          <w:tcPr>
            <w:tcW w:type="dxa" w:w="840"/>
          </w:tcPr>
          <w:p>
            <w:r>
              <w:rPr>
                <w:sz w:val="12"/>
              </w:rPr>
              <w:t>WTINT2YR</w:t>
            </w:r>
          </w:p>
        </w:tc>
        <w:tc>
          <w:tcPr>
            <w:tcW w:type="dxa" w:w="840"/>
          </w:tcPr>
          <w:p>
            <w:r>
              <w:rPr>
                <w:sz w:val="12"/>
              </w:rPr>
              <w:t>11933</w:t>
            </w:r>
          </w:p>
        </w:tc>
        <w:tc>
          <w:tcPr>
            <w:tcW w:type="dxa" w:w="840"/>
          </w:tcPr>
          <w:p>
            <w:r>
              <w:rPr>
                <w:sz w:val="12"/>
              </w:rPr>
              <w:t>27404.136</w:t>
            </w:r>
          </w:p>
        </w:tc>
        <w:tc>
          <w:tcPr>
            <w:tcW w:type="dxa" w:w="840"/>
          </w:tcPr>
          <w:p>
            <w:r>
              <w:rPr>
                <w:sz w:val="12"/>
              </w:rPr>
              <w:t>19449.155</w:t>
            </w:r>
          </w:p>
        </w:tc>
        <w:tc>
          <w:tcPr>
            <w:tcW w:type="dxa" w:w="840"/>
          </w:tcPr>
          <w:p>
            <w:r>
              <w:rPr>
                <w:sz w:val="12"/>
              </w:rPr>
              <w:t>4584.463</w:t>
            </w:r>
          </w:p>
        </w:tc>
        <w:tc>
          <w:tcPr>
            <w:tcW w:type="dxa" w:w="840"/>
          </w:tcPr>
          <w:p>
            <w:r>
              <w:rPr>
                <w:sz w:val="12"/>
              </w:rPr>
              <w:t>14331.754</w:t>
            </w:r>
          </w:p>
        </w:tc>
        <w:tc>
          <w:tcPr>
            <w:tcW w:type="dxa" w:w="840"/>
          </w:tcPr>
          <w:p>
            <w:r>
              <w:rPr>
                <w:sz w:val="12"/>
              </w:rPr>
              <w:t>21670.186</w:t>
            </w:r>
          </w:p>
        </w:tc>
        <w:tc>
          <w:tcPr>
            <w:tcW w:type="dxa" w:w="840"/>
          </w:tcPr>
          <w:p>
            <w:r>
              <w:rPr>
                <w:sz w:val="12"/>
              </w:rPr>
              <w:t>33831.332</w:t>
            </w:r>
          </w:p>
        </w:tc>
        <w:tc>
          <w:tcPr>
            <w:tcW w:type="dxa" w:w="840"/>
          </w:tcPr>
          <w:p>
            <w:r>
              <w:rPr>
                <w:sz w:val="12"/>
              </w:rPr>
              <w:t>170968.343</w:t>
            </w:r>
          </w:p>
        </w:tc>
        <w:tc>
          <w:tcPr>
            <w:tcW w:type="dxa" w:w="840"/>
          </w:tcPr>
          <w:p>
            <w:r>
              <w:rPr>
                <w:sz w:val="12"/>
              </w:rPr>
              <w:t>19499.578</w:t>
            </w:r>
          </w:p>
        </w:tc>
        <w:tc>
          <w:tcPr>
            <w:tcW w:type="dxa" w:w="840"/>
          </w:tcPr>
          <w:p>
            <w:r>
              <w:rPr>
                <w:sz w:val="12"/>
              </w:rPr>
              <w:t>2.234</w:t>
            </w:r>
          </w:p>
        </w:tc>
        <w:tc>
          <w:tcPr>
            <w:tcW w:type="dxa" w:w="840"/>
          </w:tcPr>
          <w:p>
            <w:r>
              <w:rPr>
                <w:sz w:val="12"/>
              </w:rPr>
              <w:t>7.034</w:t>
            </w:r>
          </w:p>
        </w:tc>
      </w:tr>
      <w:tr>
        <w:trPr>
          <w:cantSplit/>
        </w:trPr>
        <w:tc>
          <w:tcPr>
            <w:tcW w:type="dxa" w:w="840"/>
          </w:tcPr>
          <w:p>
            <w:r>
              <w:rPr>
                <w:sz w:val="12"/>
              </w:rPr>
              <w:t>WTMEC2YR</w:t>
            </w:r>
          </w:p>
        </w:tc>
        <w:tc>
          <w:tcPr>
            <w:tcW w:type="dxa" w:w="840"/>
          </w:tcPr>
          <w:p>
            <w:r>
              <w:rPr>
                <w:sz w:val="12"/>
              </w:rPr>
              <w:t>11933</w:t>
            </w:r>
          </w:p>
        </w:tc>
        <w:tc>
          <w:tcPr>
            <w:tcW w:type="dxa" w:w="840"/>
          </w:tcPr>
          <w:p>
            <w:r>
              <w:rPr>
                <w:sz w:val="12"/>
              </w:rPr>
              <w:t>27404.136</w:t>
            </w:r>
          </w:p>
        </w:tc>
        <w:tc>
          <w:tcPr>
            <w:tcW w:type="dxa" w:w="840"/>
          </w:tcPr>
          <w:p>
            <w:r>
              <w:rPr>
                <w:sz w:val="12"/>
              </w:rPr>
              <w:t>27962.963</w:t>
            </w:r>
          </w:p>
        </w:tc>
        <w:tc>
          <w:tcPr>
            <w:tcW w:type="dxa" w:w="840"/>
          </w:tcPr>
          <w:p>
            <w:r>
              <w:rPr>
                <w:sz w:val="12"/>
              </w:rPr>
              <w:t>0</w:t>
            </w:r>
          </w:p>
        </w:tc>
        <w:tc>
          <w:tcPr>
            <w:tcW w:type="dxa" w:w="840"/>
          </w:tcPr>
          <w:p>
            <w:r>
              <w:rPr>
                <w:sz w:val="12"/>
              </w:rPr>
              <w:t>0</w:t>
            </w:r>
          </w:p>
        </w:tc>
        <w:tc>
          <w:tcPr>
            <w:tcW w:type="dxa" w:w="840"/>
          </w:tcPr>
          <w:p>
            <w:r>
              <w:rPr>
                <w:sz w:val="12"/>
              </w:rPr>
              <w:t>21717.849</w:t>
            </w:r>
          </w:p>
        </w:tc>
        <w:tc>
          <w:tcPr>
            <w:tcW w:type="dxa" w:w="840"/>
          </w:tcPr>
          <w:p>
            <w:r>
              <w:rPr>
                <w:sz w:val="12"/>
              </w:rPr>
              <w:t>38341.150</w:t>
            </w:r>
          </w:p>
        </w:tc>
        <w:tc>
          <w:tcPr>
            <w:tcW w:type="dxa" w:w="840"/>
          </w:tcPr>
          <w:p>
            <w:r>
              <w:rPr>
                <w:sz w:val="12"/>
              </w:rPr>
              <w:t>227108.297</w:t>
            </w:r>
          </w:p>
        </w:tc>
        <w:tc>
          <w:tcPr>
            <w:tcW w:type="dxa" w:w="840"/>
          </w:tcPr>
          <w:p>
            <w:r>
              <w:rPr>
                <w:sz w:val="12"/>
              </w:rPr>
              <w:t>38341.150</w:t>
            </w:r>
          </w:p>
        </w:tc>
        <w:tc>
          <w:tcPr>
            <w:tcW w:type="dxa" w:w="840"/>
          </w:tcPr>
          <w:p>
            <w:r>
              <w:rPr>
                <w:sz w:val="12"/>
              </w:rPr>
              <w:t>1.817</w:t>
            </w:r>
          </w:p>
        </w:tc>
        <w:tc>
          <w:tcPr>
            <w:tcW w:type="dxa" w:w="840"/>
          </w:tcPr>
          <w:p>
            <w:r>
              <w:rPr>
                <w:sz w:val="12"/>
              </w:rPr>
              <w:t>5.112</w:t>
            </w:r>
          </w:p>
        </w:tc>
      </w:tr>
      <w:tr>
        <w:trPr>
          <w:cantSplit/>
        </w:trPr>
        <w:tc>
          <w:tcPr>
            <w:tcW w:type="dxa" w:w="840"/>
          </w:tcPr>
          <w:p>
            <w:r>
              <w:rPr>
                <w:sz w:val="12"/>
              </w:rPr>
              <w:t>SDMVSTRA</w:t>
            </w:r>
          </w:p>
        </w:tc>
        <w:tc>
          <w:tcPr>
            <w:tcW w:type="dxa" w:w="840"/>
          </w:tcPr>
          <w:p>
            <w:r>
              <w:rPr>
                <w:sz w:val="12"/>
              </w:rPr>
              <w:t>11933</w:t>
            </w:r>
          </w:p>
        </w:tc>
        <w:tc>
          <w:tcPr>
            <w:tcW w:type="dxa" w:w="840"/>
          </w:tcPr>
          <w:p>
            <w:r>
              <w:rPr>
                <w:sz w:val="12"/>
              </w:rPr>
              <w:t>179.918</w:t>
            </w:r>
          </w:p>
        </w:tc>
        <w:tc>
          <w:tcPr>
            <w:tcW w:type="dxa" w:w="840"/>
          </w:tcPr>
          <w:p>
            <w:r>
              <w:rPr>
                <w:sz w:val="12"/>
              </w:rPr>
              <w:t>4.310</w:t>
            </w:r>
          </w:p>
        </w:tc>
        <w:tc>
          <w:tcPr>
            <w:tcW w:type="dxa" w:w="840"/>
          </w:tcPr>
          <w:p>
            <w:r>
              <w:rPr>
                <w:sz w:val="12"/>
              </w:rPr>
              <w:t>173</w:t>
            </w:r>
          </w:p>
        </w:tc>
        <w:tc>
          <w:tcPr>
            <w:tcW w:type="dxa" w:w="840"/>
          </w:tcPr>
          <w:p>
            <w:r>
              <w:rPr>
                <w:sz w:val="12"/>
              </w:rPr>
              <w:t>176</w:t>
            </w:r>
          </w:p>
        </w:tc>
        <w:tc>
          <w:tcPr>
            <w:tcW w:type="dxa" w:w="840"/>
          </w:tcPr>
          <w:p>
            <w:r>
              <w:rPr>
                <w:sz w:val="12"/>
              </w:rPr>
              <w:t>180</w:t>
            </w:r>
          </w:p>
        </w:tc>
        <w:tc>
          <w:tcPr>
            <w:tcW w:type="dxa" w:w="840"/>
          </w:tcPr>
          <w:p>
            <w:r>
              <w:rPr>
                <w:sz w:val="12"/>
              </w:rPr>
              <w:t>184</w:t>
            </w:r>
          </w:p>
        </w:tc>
        <w:tc>
          <w:tcPr>
            <w:tcW w:type="dxa" w:w="840"/>
          </w:tcPr>
          <w:p>
            <w:r>
              <w:rPr>
                <w:sz w:val="12"/>
              </w:rPr>
              <w:t>187</w:t>
            </w:r>
          </w:p>
        </w:tc>
        <w:tc>
          <w:tcPr>
            <w:tcW w:type="dxa" w:w="840"/>
          </w:tcPr>
          <w:p>
            <w:r>
              <w:rPr>
                <w:sz w:val="12"/>
              </w:rPr>
              <w:t>8</w:t>
            </w:r>
          </w:p>
        </w:tc>
        <w:tc>
          <w:tcPr>
            <w:tcW w:type="dxa" w:w="840"/>
          </w:tcPr>
          <w:p>
            <w:r>
              <w:rPr>
                <w:sz w:val="12"/>
              </w:rPr>
              <w:t>0.010</w:t>
            </w:r>
          </w:p>
        </w:tc>
        <w:tc>
          <w:tcPr>
            <w:tcW w:type="dxa" w:w="840"/>
          </w:tcPr>
          <w:p>
            <w:r>
              <w:rPr>
                <w:sz w:val="12"/>
              </w:rPr>
              <w:t>-1.202</w:t>
            </w:r>
          </w:p>
        </w:tc>
      </w:tr>
      <w:tr>
        <w:trPr>
          <w:cantSplit/>
        </w:trPr>
        <w:tc>
          <w:tcPr>
            <w:tcW w:type="dxa" w:w="840"/>
          </w:tcPr>
          <w:p>
            <w:r>
              <w:rPr>
                <w:sz w:val="12"/>
              </w:rPr>
              <w:t>SDMVPSU</w:t>
            </w:r>
          </w:p>
        </w:tc>
        <w:tc>
          <w:tcPr>
            <w:tcW w:type="dxa" w:w="840"/>
          </w:tcPr>
          <w:p>
            <w:r>
              <w:rPr>
                <w:sz w:val="12"/>
              </w:rPr>
              <w:t>11933</w:t>
            </w:r>
          </w:p>
        </w:tc>
        <w:tc>
          <w:tcPr>
            <w:tcW w:type="dxa" w:w="840"/>
          </w:tcPr>
          <w:p>
            <w:r>
              <w:rPr>
                <w:sz w:val="12"/>
              </w:rPr>
              <w:t>1.492</w:t>
            </w:r>
          </w:p>
        </w:tc>
        <w:tc>
          <w:tcPr>
            <w:tcW w:type="dxa" w:w="840"/>
          </w:tcPr>
          <w:p>
            <w:r>
              <w:rPr>
                <w:sz w:val="12"/>
              </w:rPr>
              <w:t>0.500</w:t>
            </w:r>
          </w:p>
        </w:tc>
        <w:tc>
          <w:tcPr>
            <w:tcW w:type="dxa" w:w="840"/>
          </w:tcPr>
          <w:p>
            <w:r>
              <w:rPr>
                <w:sz w:val="12"/>
              </w:rPr>
              <w:t>1</w:t>
            </w:r>
          </w:p>
        </w:tc>
        <w:tc>
          <w:tcPr>
            <w:tcW w:type="dxa" w:w="840"/>
          </w:tcPr>
          <w:p>
            <w:r>
              <w:rPr>
                <w:sz w:val="12"/>
              </w:rPr>
              <w:t>1</w:t>
            </w:r>
          </w:p>
        </w:tc>
        <w:tc>
          <w:tcPr>
            <w:tcW w:type="dxa" w:w="840"/>
          </w:tcPr>
          <w:p>
            <w:r>
              <w:rPr>
                <w:sz w:val="12"/>
              </w:rPr>
              <w:t>1</w:t>
            </w:r>
          </w:p>
        </w:tc>
        <w:tc>
          <w:tcPr>
            <w:tcW w:type="dxa" w:w="840"/>
          </w:tcPr>
          <w:p>
            <w:r>
              <w:rPr>
                <w:sz w:val="12"/>
              </w:rPr>
              <w:t>2</w:t>
            </w:r>
          </w:p>
        </w:tc>
        <w:tc>
          <w:tcPr>
            <w:tcW w:type="dxa" w:w="840"/>
          </w:tcPr>
          <w:p>
            <w:r>
              <w:rPr>
                <w:sz w:val="12"/>
              </w:rPr>
              <w:t>2</w:t>
            </w:r>
          </w:p>
        </w:tc>
        <w:tc>
          <w:tcPr>
            <w:tcW w:type="dxa" w:w="840"/>
          </w:tcPr>
          <w:p>
            <w:r>
              <w:rPr>
                <w:sz w:val="12"/>
              </w:rPr>
              <w:t>1</w:t>
            </w:r>
          </w:p>
        </w:tc>
        <w:tc>
          <w:tcPr>
            <w:tcW w:type="dxa" w:w="840"/>
          </w:tcPr>
          <w:p>
            <w:r>
              <w:rPr>
                <w:sz w:val="12"/>
              </w:rPr>
              <w:t>0.033</w:t>
            </w:r>
          </w:p>
        </w:tc>
        <w:tc>
          <w:tcPr>
            <w:tcW w:type="dxa" w:w="840"/>
          </w:tcPr>
          <w:p>
            <w:r>
              <w:rPr>
                <w:sz w:val="12"/>
              </w:rPr>
              <w:t>-1.999</w:t>
            </w:r>
          </w:p>
        </w:tc>
      </w:tr>
      <w:tr>
        <w:trPr>
          <w:cantSplit/>
        </w:trPr>
        <w:tc>
          <w:tcPr>
            <w:tcW w:type="dxa" w:w="840"/>
          </w:tcPr>
          <w:p>
            <w:r>
              <w:rPr>
                <w:sz w:val="12"/>
              </w:rPr>
              <w:t>INDFMPIR</w:t>
            </w:r>
          </w:p>
        </w:tc>
        <w:tc>
          <w:tcPr>
            <w:tcW w:type="dxa" w:w="840"/>
          </w:tcPr>
          <w:p>
            <w:r>
              <w:rPr>
                <w:sz w:val="12"/>
              </w:rPr>
              <w:t>9892</w:t>
            </w:r>
          </w:p>
        </w:tc>
        <w:tc>
          <w:tcPr>
            <w:tcW w:type="dxa" w:w="840"/>
          </w:tcPr>
          <w:p>
            <w:r>
              <w:rPr>
                <w:sz w:val="12"/>
              </w:rPr>
              <w:t>2.708</w:t>
            </w:r>
          </w:p>
        </w:tc>
        <w:tc>
          <w:tcPr>
            <w:tcW w:type="dxa" w:w="840"/>
          </w:tcPr>
          <w:p>
            <w:r>
              <w:rPr>
                <w:sz w:val="12"/>
              </w:rPr>
              <w:t>1.670</w:t>
            </w:r>
          </w:p>
        </w:tc>
        <w:tc>
          <w:tcPr>
            <w:tcW w:type="dxa" w:w="840"/>
          </w:tcPr>
          <w:p>
            <w:r>
              <w:rPr>
                <w:sz w:val="12"/>
              </w:rPr>
              <w:t>0</w:t>
            </w:r>
          </w:p>
        </w:tc>
        <w:tc>
          <w:tcPr>
            <w:tcW w:type="dxa" w:w="840"/>
          </w:tcPr>
          <w:p>
            <w:r>
              <w:rPr>
                <w:sz w:val="12"/>
              </w:rPr>
              <w:t>1.180</w:t>
            </w:r>
          </w:p>
        </w:tc>
        <w:tc>
          <w:tcPr>
            <w:tcW w:type="dxa" w:w="840"/>
          </w:tcPr>
          <w:p>
            <w:r>
              <w:rPr>
                <w:sz w:val="12"/>
              </w:rPr>
              <w:t>2.500</w:t>
            </w:r>
          </w:p>
        </w:tc>
        <w:tc>
          <w:tcPr>
            <w:tcW w:type="dxa" w:w="840"/>
          </w:tcPr>
          <w:p>
            <w:r>
              <w:rPr>
                <w:sz w:val="12"/>
              </w:rPr>
              <w:t>4.500</w:t>
            </w:r>
          </w:p>
        </w:tc>
        <w:tc>
          <w:tcPr>
            <w:tcW w:type="dxa" w:w="840"/>
          </w:tcPr>
          <w:p>
            <w:r>
              <w:rPr>
                <w:sz w:val="12"/>
              </w:rPr>
              <w:t>5</w:t>
            </w:r>
          </w:p>
        </w:tc>
        <w:tc>
          <w:tcPr>
            <w:tcW w:type="dxa" w:w="840"/>
          </w:tcPr>
          <w:p>
            <w:r>
              <w:rPr>
                <w:sz w:val="12"/>
              </w:rPr>
              <w:t>3.320</w:t>
            </w:r>
          </w:p>
        </w:tc>
        <w:tc>
          <w:tcPr>
            <w:tcW w:type="dxa" w:w="840"/>
          </w:tcPr>
          <w:p>
            <w:r>
              <w:rPr>
                <w:sz w:val="12"/>
              </w:rPr>
              <w:t>0.120</w:t>
            </w:r>
          </w:p>
        </w:tc>
        <w:tc>
          <w:tcPr>
            <w:tcW w:type="dxa" w:w="840"/>
          </w:tcPr>
          <w:p>
            <w:r>
              <w:rPr>
                <w:sz w:val="12"/>
              </w:rPr>
              <w:t>-1.400</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MIR Medical Intelligence — NHANES DEMO_L EDA Report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b/>
      <w:bCs/>
      <w:color w:val="1F374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34495E"/>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50505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w:hAnsi="Aptos"/>
      <w:b/>
      <w:color w:val="1F37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