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Elong Mirco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 BankingApplication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Define Banking class with properties: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- initialInvestment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- monthlyDeposit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- annualInterest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 numberOfYears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Define methods for Banking class: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- SetInitialInvestment(amount)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SetMonthlyDeposit(amount)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SetInterestRate(rate)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SetNumberOfYears(years)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 CalcBalanceWithoutMonthlyDeposit()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CalcBalanceWithMonthlyDeposit()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DisplayInvestmentDetails()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Initialize Banking object myInvestment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Main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Loop until user inputs 'q'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ClearScreen()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PrintHomeScreen()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Prompt user for initialInvestment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Prompt user for monthlyDeposit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Prompt user for annualInterest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Prompt user for numberOfYears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Validate and set the properties of myInvestment object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End PrintHomeScreen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myInvestment.DisplayInvestmentDetails()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Call CalcBalanceWithoutMonthlyDeposit()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Calculate and display year-end balances without monthly deposits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Call CalcBalanceWithMonthlyDeposit()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Calculate and display year-end balances with monthly deposits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End DisplayInvestmentDetails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Prompt user to enter 'q' to quit or any other key to run another report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End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 Main Program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Function ClearScreen()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Clear the console screen for readability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 PrintHomeScreen()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Display user prompts for investment details and call respective setters of myInvestment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Function CalcBalanceWithoutMonthlyDeposit()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each year, calculate interest, add it to totalAmount, and display the 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Function CalcBalanceWithMonthlyDeposit()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each year and each month, calculate monthly interest, add it to totalAmount along with monthlyDeposit, and display the result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Function DisplayInvestmentDetails()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Call CalcBalanceWithoutMonthlyDeposit() and CalcBalanceWithMonthlyDeposit() to display investment details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validIntInput()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Repeat until a valid integer is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Prompt user and validate input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valid integer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Function validDoubleInput()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Repeat until a valid double is input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Prompt user and validate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valid double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 BankingApplication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