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Taylor Brooks</w:t>
      </w:r>
    </w:p>
    <w:p>
      <w:r>
        <w:t xml:space="preserve">Calgary, AB | (555) 010-4471 | taylor.brooks@example.com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$212M+</w:t>
            </w:r>
          </w:p>
        </w:tc>
        <w:tc>
          <w:p>
            <w:r>
              <w:t xml:space="preserve">$18.4M (FY2027E)</w:t>
            </w:r>
          </w:p>
        </w:tc>
        <w:tc>
          <w:p>
            <w:r>
              <w:t xml:space="preserve">Mar 2024</w:t>
            </w:r>
          </w:p>
        </w:tc>
        <w:tc>
          <w:p>
            <w:r>
              <w:t xml:space="preserve">3 → 11</w:t>
            </w:r>
          </w:p>
        </w:tc>
      </w:tr>
      <w:tr>
        <w:tc>
          <w:p>
            <w:r>
              <w:t xml:space="preserve">CUMULATIVE CONTRACT VALUE</w:t>
            </w:r>
          </w:p>
        </w:tc>
        <w:tc>
          <w:p>
            <w:r>
              <w:t xml:space="preserve">PROJECTED ANNUAL REVENUE</w:t>
            </w:r>
          </w:p>
        </w:tc>
        <w:tc>
          <w:p>
            <w:r>
              <w:t xml:space="preserve">PLATFORM LAUNCH DATE</w:t>
            </w:r>
          </w:p>
        </w:tc>
        <w:tc>
          <w:p>
            <w:r>
              <w:t xml:space="preserve">TEAM HEADCOUNT GROWTH</w:t>
            </w:r>
          </w:p>
        </w:tc>
      </w:tr>
    </w:tbl>
    <w:p>
      <w:pPr>
        <w:pStyle w:val="Heading1"/>
      </w:pPr>
      <w:r>
        <w:t xml:space="preserve">Summary</w:t>
      </w:r>
    </w:p>
    <w:p>
      <w:r>
        <w:t xml:space="preserve">Results-driven professional with a track record of measurable, disclosed impact across cross-functional teams.</w:t>
      </w:r>
    </w:p>
    <w:p>
      <w:pPr>
        <w:pStyle w:val="Heading1"/>
      </w:pPr>
      <w:r>
        <w:t xml:space="preserve">Experience</w:t>
      </w:r>
    </w:p>
    <w:p>
      <w:r>
        <w:t xml:space="preserve">Program Lead, Northbridge Collective, Calgary — 2021 to Present</w:t>
      </w:r>
    </w:p>
    <w:p>
      <w:r>
        <w:t xml:space="preserve">• Led planning and delivery for multiple concurrent initiatives.</w:t>
      </w:r>
    </w:p>
    <w:p>
      <w:r>
        <w:t xml:space="preserve">• Partnered with stakeholders across finance, operations, and community outreach.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2026-08-05T10:32:11.769Z</dcterms:created>
  <dcterms:modified xsi:type="dcterms:W3CDTF">2026-08-05T10:32:11.770Z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