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F8B" w14:textId="76C81671" w:rsidR="006675F0" w:rsidRDefault="006675F0"/>
    <w:p w14:paraId="7511E502" w14:textId="58956AAA" w:rsidR="00DD3FD0" w:rsidRDefault="00DD3FD0" w:rsidP="00DD3FD0">
      <w:pPr>
        <w:pStyle w:val="Heading1"/>
        <w:numPr>
          <w:ilvl w:val="0"/>
          <w:numId w:val="1"/>
        </w:numPr>
      </w:pPr>
      <w:r>
        <w:t>PCI Configuration Space: -</w:t>
      </w:r>
    </w:p>
    <w:p w14:paraId="4320A228" w14:textId="0E70FEC2" w:rsidR="00DD3FD0" w:rsidRDefault="00DD3FD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 xml:space="preserve">PCI devices have a set of registers referred to as configuration space. </w:t>
      </w:r>
      <w:r w:rsidR="00503A2A" w:rsidRPr="00503A2A">
        <w:rPr>
          <w:rFonts w:cstheme="minorHAnsi"/>
          <w:color w:val="202122"/>
          <w:sz w:val="24"/>
          <w:szCs w:val="24"/>
          <w:shd w:val="clear" w:color="auto" w:fill="FFFFFF"/>
        </w:rPr>
        <w:t>These registers are then mapped to memory locations such as the I/O Address Space of the CPU.</w:t>
      </w:r>
      <w:r w:rsidR="00503A2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On PCI Express buses, </w:t>
      </w: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>this configuration space may be referred to as the the Extended Configuration Space. Every PCI device in the system, including the PCI-PCI bridges has a configuration space.</w:t>
      </w:r>
    </w:p>
    <w:p w14:paraId="1FEA1386" w14:textId="71FBB43F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03EDA68" w14:textId="7A5FBB15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 – 256 bytes</w:t>
      </w:r>
    </w:p>
    <w:p w14:paraId="3996D17D" w14:textId="695375EA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PCIe – 2048 bytes</w:t>
      </w:r>
    </w:p>
    <w:p w14:paraId="41DF7537" w14:textId="34A08557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D282397" w14:textId="7C40A394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In PCI, configuration space of 256 bytes </w:t>
      </w:r>
      <w:r w:rsidR="009A65C0">
        <w:rPr>
          <w:rFonts w:cstheme="minorHAnsi"/>
          <w:color w:val="202122"/>
          <w:sz w:val="24"/>
          <w:szCs w:val="24"/>
          <w:shd w:val="clear" w:color="auto" w:fill="FFFFFF"/>
        </w:rPr>
        <w:t>is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addressed by using 8-bit PCI bus, 5-bit device and 3-bit function numbers for the device, it is commonly known as bus/device/funtion or BDF. </w:t>
      </w:r>
    </w:p>
    <w:p w14:paraId="62620BB5" w14:textId="6667FE96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E9EA68C" w14:textId="03B429DD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9A65C0">
        <w:rPr>
          <w:rFonts w:cstheme="minorHAnsi"/>
          <w:color w:val="202122"/>
          <w:sz w:val="24"/>
          <w:szCs w:val="24"/>
          <w:shd w:val="clear" w:color="auto" w:fill="FFFFFF"/>
        </w:rPr>
        <w:drawing>
          <wp:inline distT="0" distB="0" distL="0" distR="0" wp14:anchorId="3B6933B4" wp14:editId="78F9014F">
            <wp:extent cx="5943600" cy="4191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768" cy="41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7FF" w14:textId="1B0CA94D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Figure – 1</w:t>
      </w:r>
    </w:p>
    <w:p w14:paraId="2C690FFC" w14:textId="4FC7AB97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A0E97AC" w14:textId="5CDD76D4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C6B2459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A88A348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6F9418C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968512E" w14:textId="0940EA70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Configuration header: -</w:t>
      </w:r>
    </w:p>
    <w:p w14:paraId="349048DF" w14:textId="69252DDB" w:rsidR="002970C3" w:rsidRDefault="002970C3" w:rsidP="002970C3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Out of 256 bytes configuration space, first 64 bytes (00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h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– 3Fh) of configuration space are standardized, also called as “Configuration Header”.</w:t>
      </w:r>
    </w:p>
    <w:p w14:paraId="6F65EF0A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7247896" w14:textId="5354985C" w:rsidR="009A65C0" w:rsidRDefault="009A65C0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In figure – 1, in 64 bytes configuration header, the black ones are read</w:t>
      </w:r>
      <w:r w:rsidR="00FE7BE9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2"/>
          <w:sz w:val="24"/>
          <w:szCs w:val="24"/>
          <w:shd w:val="clear" w:color="auto" w:fill="FFFFFF"/>
        </w:rPr>
        <w:t>only</w:t>
      </w:r>
      <w:proofErr w:type="gram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and white ones are writable registers where the BSP code writes down the address details, configure this device and map it to a particular address space. </w:t>
      </w:r>
      <w:r w:rsid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3722FE3E" w14:textId="28D2737F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We can in 64 bytes configuration header, there resides PCI ID i.e., Vendor ID and Device ID registers, to identify the device.</w:t>
      </w:r>
    </w:p>
    <w:p w14:paraId="7040CD41" w14:textId="7178DCDD" w:rsidR="00FE7BE9" w:rsidRDefault="00FE7BE9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If an Endpoint has 7 functionalities for example, then there will be 7 headers as shown in figure -1.</w:t>
      </w:r>
    </w:p>
    <w:p w14:paraId="4E717DA0" w14:textId="3E16C531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A97C7BD" w14:textId="72130442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192 bytes (40h – FFh):- </w:t>
      </w:r>
    </w:p>
    <w:p w14:paraId="127C5F14" w14:textId="02448DC8" w:rsidR="009A65C0" w:rsidRDefault="002970C3" w:rsidP="002970C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>
        <w:t xml:space="preserve">The remaining 192 bytes (40h – FFh)  out of 256 bytes represent user-definable configuration space, such as the information specific to PC card for use by its accompanying software. </w:t>
      </w:r>
    </w:p>
    <w:p w14:paraId="3209697A" w14:textId="38340B48" w:rsidR="002970C3" w:rsidRDefault="002970C3" w:rsidP="002970C3">
      <w:pPr>
        <w:pStyle w:val="Heading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Permits Plug-And-Play: -</w:t>
      </w:r>
    </w:p>
    <w:p w14:paraId="3106ECA0" w14:textId="1A165C9B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Base address registers allow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an agent to be mapped dynamically into memory or I/O space.</w:t>
      </w:r>
    </w:p>
    <w:p w14:paraId="66EB6F36" w14:textId="76D8CF06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 programmable interrupt-line setting allows a software driver to program a PC card with an IRQ upon power up.</w:t>
      </w:r>
    </w:p>
    <w:p w14:paraId="768B1DCD" w14:textId="36D97E82" w:rsid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0D7064F" w14:textId="74E0B5ED" w:rsidR="002C0F92" w:rsidRP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[13-11-2021, 1:00:00]</w:t>
      </w:r>
    </w:p>
    <w:sectPr w:rsidR="002C0F92" w:rsidRPr="002C0F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CB51" w14:textId="77777777" w:rsidR="00067CE0" w:rsidRDefault="00067CE0" w:rsidP="00DD3FD0">
      <w:pPr>
        <w:spacing w:after="0" w:line="240" w:lineRule="auto"/>
      </w:pPr>
      <w:r>
        <w:separator/>
      </w:r>
    </w:p>
  </w:endnote>
  <w:endnote w:type="continuationSeparator" w:id="0">
    <w:p w14:paraId="12F0ED03" w14:textId="77777777" w:rsidR="00067CE0" w:rsidRDefault="00067CE0" w:rsidP="00DD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2794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4C8C13" w14:textId="38772F70" w:rsidR="00DD3FD0" w:rsidRDefault="00DD3F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C4A9CD" w14:textId="77777777" w:rsidR="00DD3FD0" w:rsidRDefault="00DD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36FD" w14:textId="77777777" w:rsidR="00067CE0" w:rsidRDefault="00067CE0" w:rsidP="00DD3FD0">
      <w:pPr>
        <w:spacing w:after="0" w:line="240" w:lineRule="auto"/>
      </w:pPr>
      <w:r>
        <w:separator/>
      </w:r>
    </w:p>
  </w:footnote>
  <w:footnote w:type="continuationSeparator" w:id="0">
    <w:p w14:paraId="6722E728" w14:textId="77777777" w:rsidR="00067CE0" w:rsidRDefault="00067CE0" w:rsidP="00DD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5EF1" w14:textId="30701953" w:rsidR="00DD3FD0" w:rsidRDefault="00DD3FD0" w:rsidP="00DD3FD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A94662" wp14:editId="4FFDE3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F6A6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PCI Configuration Space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1"/>
    <w:multiLevelType w:val="hybridMultilevel"/>
    <w:tmpl w:val="0CD6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95DE1"/>
    <w:multiLevelType w:val="hybridMultilevel"/>
    <w:tmpl w:val="AECC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02D5F"/>
    <w:multiLevelType w:val="multilevel"/>
    <w:tmpl w:val="9C82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17218403">
    <w:abstractNumId w:val="2"/>
  </w:num>
  <w:num w:numId="2" w16cid:durableId="1784493133">
    <w:abstractNumId w:val="1"/>
  </w:num>
  <w:num w:numId="3" w16cid:durableId="79005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4E"/>
    <w:rsid w:val="00067CE0"/>
    <w:rsid w:val="002744A6"/>
    <w:rsid w:val="002970C3"/>
    <w:rsid w:val="002C0F92"/>
    <w:rsid w:val="00503A2A"/>
    <w:rsid w:val="006675F0"/>
    <w:rsid w:val="009A65C0"/>
    <w:rsid w:val="00DD02FD"/>
    <w:rsid w:val="00DD3FD0"/>
    <w:rsid w:val="00F17A4E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42E1"/>
  <w15:chartTrackingRefBased/>
  <w15:docId w15:val="{700777B3-6248-431F-8204-6503A3CB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D0"/>
  </w:style>
  <w:style w:type="paragraph" w:styleId="Footer">
    <w:name w:val="footer"/>
    <w:basedOn w:val="Normal"/>
    <w:link w:val="Foot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D0"/>
  </w:style>
  <w:style w:type="character" w:customStyle="1" w:styleId="Heading1Char">
    <w:name w:val="Heading 1 Char"/>
    <w:basedOn w:val="DefaultParagraphFont"/>
    <w:link w:val="Heading1"/>
    <w:uiPriority w:val="9"/>
    <w:rsid w:val="00DD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4</cp:revision>
  <dcterms:created xsi:type="dcterms:W3CDTF">2022-12-17T16:42:00Z</dcterms:created>
  <dcterms:modified xsi:type="dcterms:W3CDTF">2022-12-17T18:27:00Z</dcterms:modified>
</cp:coreProperties>
</file>