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</w:t>
      </w:r>
      <w:r>
        <w:t xml:space="preserve"> </w:t>
      </w:r>
      <w:r>
        <w:t xml:space="preserve">pratique</w:t>
      </w:r>
      <w:r>
        <w:t xml:space="preserve"> </w:t>
      </w:r>
      <w:r>
        <w:t xml:space="preserve">:</w:t>
      </w:r>
      <w:r>
        <w:t xml:space="preserve"> </w:t>
      </w:r>
      <w:r>
        <w:t xml:space="preserve">stéganalyse</w:t>
      </w:r>
      <w:r>
        <w:t xml:space="preserve"> </w:t>
      </w:r>
      <w:r>
        <w:t xml:space="preserve">face</w:t>
      </w:r>
      <w:r>
        <w:t xml:space="preserve"> </w:t>
      </w:r>
      <w:r>
        <w:t xml:space="preserve">aux</w:t>
      </w:r>
      <w:r>
        <w:t xml:space="preserve"> </w:t>
      </w:r>
      <w:r>
        <w:t xml:space="preserve">images</w:t>
      </w:r>
      <w:r>
        <w:t xml:space="preserve"> </w:t>
      </w:r>
      <w:r>
        <w:t xml:space="preserve">générées</w:t>
      </w:r>
      <w:r>
        <w:t xml:space="preserve"> </w:t>
      </w:r>
      <w:r>
        <w:t xml:space="preserve">—</w:t>
      </w:r>
      <w:r>
        <w:t xml:space="preserve"> </w:t>
      </w:r>
      <w:r>
        <w:t xml:space="preserve">synthèse</w:t>
      </w:r>
      <w:r>
        <w:t xml:space="preserve"> </w:t>
      </w:r>
      <w:r>
        <w:t xml:space="preserve">des</w:t>
      </w:r>
      <w:r>
        <w:t xml:space="preserve"> </w:t>
      </w:r>
      <w:r>
        <w:t xml:space="preserve">résultats</w:t>
      </w:r>
    </w:p>
    <w:p>
      <w:pPr>
        <w:pStyle w:val="Author"/>
      </w:pPr>
      <w:r>
        <w:t xml:space="preserve">Ousmane</w:t>
      </w:r>
      <w:r>
        <w:t xml:space="preserve"> </w:t>
      </w:r>
      <w:r>
        <w:t xml:space="preserve">Ndiéguène</w:t>
      </w:r>
    </w:p>
    <w:p>
      <w:pPr>
        <w:pStyle w:val="Date"/>
      </w:pPr>
      <w:r>
        <w:t xml:space="preserve">Septembre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objet"/>
      <w:r>
        <w:t xml:space="preserve">Objet</w:t>
      </w:r>
      <w:bookmarkEnd w:id="20"/>
    </w:p>
    <w:p>
      <w:pPr>
        <w:pStyle w:val="FirstParagraph"/>
      </w:pPr>
      <w:r>
        <w:t xml:space="preserve">Ce document synthétise le cas pratique à son état final, sur caractéristiques SRM et corpus de quatre</w:t>
      </w:r>
      <w:r>
        <w:t xml:space="preserve"> </w:t>
      </w:r>
      <w:r>
        <w:t xml:space="preserve">sources à 10000 images chacune : naturel (BOSSbase), Stable Diffusion (DiffusionDB), Midjourney et ADM</w:t>
      </w:r>
      <w:r>
        <w:t xml:space="preserve"> </w:t>
      </w:r>
      <w:r>
        <w:t xml:space="preserve">(GenImage). Trois algorithmes d’insertion, LSB, S-UNIWARD, HILL, à 0,4 bpp. Le détail par expérience est</w:t>
      </w:r>
      <w:r>
        <w:t xml:space="preserve"> </w:t>
      </w:r>
      <w:r>
        <w:t xml:space="preserve">dans les fiches</w:t>
      </w:r>
      <w:r>
        <w:t xml:space="preserve"> </w:t>
      </w:r>
      <w:r>
        <w:rPr>
          <w:rStyle w:val="VerbatimChar"/>
        </w:rPr>
        <w:t xml:space="preserve">results/experience_*.md</w:t>
      </w:r>
      <w:r>
        <w:t xml:space="preserve">.</w:t>
      </w:r>
    </w:p>
    <w:p>
      <w:pPr>
        <w:pStyle w:val="Heading2"/>
      </w:pPr>
      <w:bookmarkStart w:id="21" w:name="décalage-de-domaine-expérience-a"/>
      <w:r>
        <w:t xml:space="preserve">1. Décalage de domaine (Expérience A)</w:t>
      </w:r>
      <w:bookmarkEnd w:id="21"/>
    </w:p>
    <w:p>
      <w:pPr>
        <w:pStyle w:val="FirstParagraph"/>
      </w:pPr>
      <w:r>
        <w:t xml:space="preserve">Un détecteur entraîné sur le naturel est appliqué aux sources générées. Références sur le naturel : LSB</w:t>
      </w:r>
      <w:r>
        <w:t xml:space="preserve"> </w:t>
      </w:r>
      <w:r>
        <w:t xml:space="preserve">0,994, S-UNIWARD 0,784, HILL 0,711. La détection des adaptatifs a progressé avec les données, contre</w:t>
      </w:r>
      <w:r>
        <w:t xml:space="preserve"> </w:t>
      </w:r>
      <w:r>
        <w:t xml:space="preserve">environ 0,70 et 0,60 à 5000 images.</w:t>
      </w:r>
    </w:p>
    <w:p>
      <w:pPr>
        <w:pStyle w:val="BodyText"/>
      </w:pPr>
      <w:r>
        <w:t xml:space="preserve">Le décalage est sévère et général : en cross-domaine, l’AUC tombe vers 0,53 à 0,89 selon la source et</w:t>
      </w:r>
      <w:r>
        <w:t xml:space="preserve"> </w:t>
      </w:r>
      <w:r>
        <w:t xml:space="preserve">l’algorithme, et les faux positifs explosent, de 47 % à 90 % contre 5 % visés. Réentraîné par source, le</w:t>
      </w:r>
      <w:r>
        <w:t xml:space="preserve"> </w:t>
      </w:r>
      <w:r>
        <w:t xml:space="preserve">détecteur récupère très bien pour LSB (0,96 à 0,99), et pour l’adaptatif sur Midjourney et ADM, mais reste</w:t>
      </w:r>
      <w:r>
        <w:t xml:space="preserve"> </w:t>
      </w:r>
      <w:r>
        <w:t xml:space="preserve">au niveau du hasard sur Stable Diffusion en adaptatif.</w:t>
      </w:r>
    </w:p>
    <w:p>
      <w:pPr>
        <w:pStyle w:val="Heading2"/>
      </w:pPr>
      <w:bookmarkStart w:id="22" w:name="interférence-des-artefacts-expérience-b"/>
      <w:r>
        <w:t xml:space="preserve">2. Interférence des artefacts (Expérience B)</w:t>
      </w:r>
      <w:bookmarkEnd w:id="22"/>
    </w:p>
    <w:p>
      <w:pPr>
        <w:pStyle w:val="FirstParagraph"/>
      </w:pPr>
      <w:r>
        <w:t xml:space="preserve">Distance de Mahalanobis cover vers stégo, sans détecteur. Une distance plus faible que le naturel signale</w:t>
      </w:r>
      <w:r>
        <w:t xml:space="preserve"> </w:t>
      </w:r>
      <w:r>
        <w:t xml:space="preserve">un masquage.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Algorithme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Stable Diffusion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LSB</w:t>
            </w:r>
          </w:p>
        </w:tc>
        <w:tc>
          <w:p>
            <w:pPr>
              <w:pStyle w:val="Compact"/>
              <w:jc w:val="left"/>
            </w:pPr>
            <w:r>
              <w:t xml:space="preserve">1,633</w:t>
            </w:r>
          </w:p>
        </w:tc>
        <w:tc>
          <w:p>
            <w:pPr>
              <w:pStyle w:val="Compact"/>
              <w:jc w:val="left"/>
            </w:pPr>
            <w:r>
              <w:t xml:space="preserve">1,331</w:t>
            </w:r>
          </w:p>
        </w:tc>
        <w:tc>
          <w:p>
            <w:pPr>
              <w:pStyle w:val="Compact"/>
              <w:jc w:val="left"/>
            </w:pPr>
            <w:r>
              <w:t xml:space="preserve">1,754</w:t>
            </w:r>
          </w:p>
        </w:tc>
        <w:tc>
          <w:p>
            <w:pPr>
              <w:pStyle w:val="Compact"/>
              <w:jc w:val="left"/>
            </w:pPr>
            <w:r>
              <w:t xml:space="preserve">1,540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S-UNIWARD</w:t>
            </w:r>
          </w:p>
        </w:tc>
        <w:tc>
          <w:p>
            <w:pPr>
              <w:pStyle w:val="Compact"/>
              <w:jc w:val="left"/>
            </w:pPr>
            <w:r>
              <w:t xml:space="preserve">0,912</w:t>
            </w:r>
          </w:p>
        </w:tc>
        <w:tc>
          <w:p>
            <w:pPr>
              <w:pStyle w:val="Compact"/>
              <w:jc w:val="left"/>
            </w:pPr>
            <w:r>
              <w:t xml:space="preserve">0,534</w:t>
            </w:r>
          </w:p>
        </w:tc>
        <w:tc>
          <w:p>
            <w:pPr>
              <w:pStyle w:val="Compact"/>
              <w:jc w:val="left"/>
            </w:pPr>
            <w:r>
              <w:t xml:space="preserve">1,297</w:t>
            </w:r>
          </w:p>
        </w:tc>
        <w:tc>
          <w:p>
            <w:pPr>
              <w:pStyle w:val="Compact"/>
              <w:jc w:val="left"/>
            </w:pPr>
            <w:r>
              <w:t xml:space="preserve">0,974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HILL</w:t>
            </w:r>
          </w:p>
        </w:tc>
        <w:tc>
          <w:p>
            <w:pPr>
              <w:pStyle w:val="Compact"/>
              <w:jc w:val="left"/>
            </w:pPr>
            <w:r>
              <w:t xml:space="preserve">0,772</w:t>
            </w:r>
          </w:p>
        </w:tc>
        <w:tc>
          <w:p>
            <w:pPr>
              <w:pStyle w:val="Compact"/>
              <w:jc w:val="left"/>
            </w:pPr>
            <w:r>
              <w:t xml:space="preserve">0,459</w:t>
            </w:r>
          </w:p>
        </w:tc>
        <w:tc>
          <w:p>
            <w:pPr>
              <w:pStyle w:val="Compact"/>
              <w:jc w:val="left"/>
            </w:pPr>
            <w:r>
              <w:t xml:space="preserve">1,169</w:t>
            </w:r>
          </w:p>
        </w:tc>
        <w:tc>
          <w:p>
            <w:pPr>
              <w:pStyle w:val="Compact"/>
              <w:jc w:val="left"/>
            </w:pPr>
            <w:r>
              <w:t xml:space="preserve">0,745</w:t>
            </w:r>
          </w:p>
        </w:tc>
      </w:tr>
    </w:tbl>
    <w:p>
      <w:pPr>
        <w:pStyle w:val="BodyText"/>
      </w:pPr>
      <w:r>
        <w:t xml:space="preserve">Stable Diffusion masque l’insertion pour les trois algorithmes, fortement sur les adaptatifs, environ 40 %</w:t>
      </w:r>
      <w:r>
        <w:t xml:space="preserve"> </w:t>
      </w:r>
      <w:r>
        <w:t xml:space="preserve">sous le naturel. Midjourney fait l’inverse, la trace y ressort davantage, effet de contenu plus lisse. ADM</w:t>
      </w:r>
      <w:r>
        <w:t xml:space="preserve"> </w:t>
      </w:r>
      <w:r>
        <w:t xml:space="preserve">reste au niveau du naturel.</w:t>
      </w:r>
    </w:p>
    <w:p>
      <w:pPr>
        <w:pStyle w:val="Heading2"/>
      </w:pPr>
      <w:bookmarkStart w:id="23" w:name="adaptation-du-détecteur-expérience-c"/>
      <w:r>
        <w:t xml:space="preserve">3. Adaptation du détecteur (Expérience C)</w:t>
      </w:r>
      <w:bookmarkEnd w:id="23"/>
    </w:p>
    <w:p>
      <w:pPr>
        <w:pStyle w:val="FirstParagraph"/>
      </w:pPr>
      <w:r>
        <w:t xml:space="preserve">Sur LSB, l’adaptation répare le décalage de domaine partout : Stable Diffusion remonte de 0,733 à 0,95,</w:t>
      </w:r>
      <w:r>
        <w:t xml:space="preserve"> </w:t>
      </w:r>
      <w:r>
        <w:t xml:space="preserve">Midjourney à 0,99, ADM à 0,96, et un détecteur mixte unique égale les détecteurs spécialisés. Sur</w:t>
      </w:r>
      <w:r>
        <w:t xml:space="preserve"> </w:t>
      </w:r>
      <w:r>
        <w:t xml:space="preserve">l’adaptatif, elle récupère sur Midjourney et ADM (S-UNIWARD Midjourney de 0,61 à 0,88), mais bute sur</w:t>
      </w:r>
      <w:r>
        <w:t xml:space="preserve"> </w:t>
      </w:r>
      <w:r>
        <w:t xml:space="preserve">Stable Diffusion, où même le détecteur apparié reste au hasard (0,56 pour S-UNIWARD, 0,52 pour HILL). Le</w:t>
      </w:r>
      <w:r>
        <w:t xml:space="preserve"> </w:t>
      </w:r>
      <w:r>
        <w:t xml:space="preserve">réentraînement répare le décalage de domaine, pas l’interférence.</w:t>
      </w:r>
    </w:p>
    <w:p>
      <w:pPr>
        <w:pStyle w:val="Heading2"/>
      </w:pPr>
      <w:bookmarkStart w:id="24" w:name="attribution-multi-classe-expérience-d"/>
      <w:r>
        <w:t xml:space="preserve">4. Attribution multi-classe (Expérience D)</w:t>
      </w:r>
      <w:bookmarkEnd w:id="24"/>
    </w:p>
    <w:p>
      <w:pPr>
        <w:pStyle w:val="FirstParagraph"/>
      </w:pPr>
      <w:r>
        <w:t xml:space="preserve">Sur le naturel, on cherche à identifier l’algorithme parmi cover, LSB, S-UNIWARD, HILL. Exactitude 0,581</w:t>
      </w:r>
      <w:r>
        <w:t xml:space="preserve"> </w:t>
      </w:r>
      <w:r>
        <w:t xml:space="preserve">pour un hasard à 0,25. LSB est identifié presque parfaitement (F1 0,914) ; cover, S-UNIWARD et HILL se</w:t>
      </w:r>
      <w:r>
        <w:t xml:space="preserve"> </w:t>
      </w:r>
      <w:r>
        <w:t xml:space="preserve">confondent. Le critère de sélection non supervisé à k égal quatre échoue (accord nul avec les classes), ce</w:t>
      </w:r>
      <w:r>
        <w:t xml:space="preserve"> </w:t>
      </w:r>
      <w:r>
        <w:t xml:space="preserve">qui justifie la variante supervisée.</w:t>
      </w:r>
    </w:p>
    <w:p>
      <w:pPr>
        <w:pStyle w:val="Heading2"/>
      </w:pPr>
      <w:bookmarkStart w:id="25" w:name="X9ae6aecda1f7ac54f90907a421b3d039e55933c"/>
      <w:r>
        <w:t xml:space="preserve">5. Réduction de caractéristiques (méthode PFA)</w:t>
      </w:r>
      <w:bookmarkEnd w:id="25"/>
    </w:p>
    <w:p>
      <w:pPr>
        <w:pStyle w:val="FirstParagraph"/>
      </w:pPr>
      <w:r>
        <w:t xml:space="preserve">La méthode de l’encadrant, PFA et son enveloppe S-SELECT, ramène les 34000 descripteurs SRM à quelques</w:t>
      </w:r>
      <w:r>
        <w:t xml:space="preserve"> </w:t>
      </w:r>
      <w:r>
        <w:t xml:space="preserve">dizaines en conservant l’essentiel de la performance (24 caractéristiques pour environ 0,91 sur SRM en cas</w:t>
      </w:r>
      <w:r>
        <w:t xml:space="preserve"> </w:t>
      </w:r>
      <w:r>
        <w:t xml:space="preserve">LSB). Le critère non supervisé d’origine échoue quand le contenu domine la trace ; une variante supervisée,</w:t>
      </w:r>
      <w:r>
        <w:t xml:space="preserve"> </w:t>
      </w:r>
      <w:r>
        <w:t xml:space="preserve">contribution de ce travail, le corrige.</w:t>
      </w:r>
    </w:p>
    <w:p>
      <w:pPr>
        <w:pStyle w:val="Heading2"/>
      </w:pPr>
      <w:bookmarkStart w:id="26" w:name="ce-que-lensemble-établit"/>
      <w:r>
        <w:t xml:space="preserve">6. Ce que l’ensemble établit</w:t>
      </w:r>
      <w:bookmarkEnd w:id="26"/>
    </w:p>
    <w:p>
      <w:pPr>
        <w:pStyle w:val="FirstParagraph"/>
      </w:pPr>
      <w:r>
        <w:t xml:space="preserve">L’image générée perturbe la stéganalyse classique sur deux plans. Le décalage de domaine est général et se</w:t>
      </w:r>
      <w:r>
        <w:t xml:space="preserve"> </w:t>
      </w:r>
      <w:r>
        <w:t xml:space="preserve">répare par adaptation du détecteur, sauf sur Stable Diffusion en adaptatif. L’interférence est portée par</w:t>
      </w:r>
      <w:r>
        <w:t xml:space="preserve"> </w:t>
      </w:r>
      <w:r>
        <w:t xml:space="preserve">Stable Diffusion seul et ne se répare pas, le signal y étant physiquement masqué. Midjourney, source</w:t>
      </w:r>
      <w:r>
        <w:t xml:space="preserve"> </w:t>
      </w:r>
      <w:r>
        <w:t xml:space="preserve">commerciale, se comporte à l’opposé, l’insertion y étant plus visible. La détection des adaptatifs progresse</w:t>
      </w:r>
      <w:r>
        <w:t xml:space="preserve"> </w:t>
      </w:r>
      <w:r>
        <w:t xml:space="preserve">avec les données.</w:t>
      </w:r>
    </w:p>
    <w:p>
      <w:pPr>
        <w:pStyle w:val="BodyText"/>
      </w:pPr>
      <w:r>
        <w:t xml:space="preserve">Limite à garder en tête : Stable Diffusion vient de DiffusionDB, au contenu artistique, alors que Midjourney</w:t>
      </w:r>
      <w:r>
        <w:t xml:space="preserve"> </w:t>
      </w:r>
      <w:r>
        <w:t xml:space="preserve">et ADM sont sur contenu ImageNet ; l’effet du générateur et celui du contenu restent partiellement</w:t>
      </w:r>
      <w:r>
        <w:t xml:space="preserve"> </w:t>
      </w:r>
      <w:r>
        <w:t xml:space="preserve">confondus, à lever avec une seconde source Stable Diffusion.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pratique : stéganalyse face aux images générées — synthèse des résultats</dc:title>
  <dc:creator>Ousmane Ndiéguène</dc:creator>
  <cp:keywords/>
  <dcterms:created xsi:type="dcterms:W3CDTF">2026-09-24T17:34:22Z</dcterms:created>
  <dcterms:modified xsi:type="dcterms:W3CDTF">2026-09-24T17:34:22Z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Septembre 2026</vt:lpwstr>
  </property>
</Properties>
</file>