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Design Phase-II: Solution Requirements</w:t>
      </w:r>
    </w:p>
    <w:p>
      <w:r>
        <w:rPr>
          <w:b/>
        </w:rPr>
        <w:t xml:space="preserve">Date: </w:t>
      </w:r>
      <w:r>
        <w:t>01 September 2026</w:t>
        <w:br/>
      </w:r>
      <w:r>
        <w:rPr>
          <w:b/>
        </w:rPr>
        <w:t xml:space="preserve">Team ID: </w:t>
      </w:r>
      <w:r>
        <w:t>SWTID-2026-4650</w:t>
        <w:br/>
      </w:r>
      <w:r>
        <w:rPr>
          <w:b/>
        </w:rPr>
        <w:t xml:space="preserve">Project Name: </w:t>
      </w:r>
      <w:r>
        <w:t>StudyBuddy</w:t>
        <w:br/>
      </w:r>
      <w:r>
        <w:rPr>
          <w:b/>
        </w:rPr>
        <w:t xml:space="preserve">Maximum Marks: </w:t>
      </w:r>
      <w:r>
        <w:t>4 Marks</w:t>
      </w:r>
    </w:p>
    <w:p>
      <w:pPr>
        <w:pStyle w:val="Heading1"/>
      </w:pPr>
      <w:r>
        <w:t>1. Functional Requirements</w:t>
      </w:r>
    </w:p>
    <w:p>
      <w:r>
        <w:t>System functional specifications structured by modules and execution tasks: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 No.</w:t>
            </w:r>
          </w:p>
        </w:tc>
        <w:tc>
          <w:tcPr>
            <w:tcW w:type="dxa" w:w="2880"/>
          </w:tcPr>
          <w:p>
            <w:r>
              <w:t>Functional Requirement (Epic)</w:t>
            </w:r>
          </w:p>
        </w:tc>
        <w:tc>
          <w:tcPr>
            <w:tcW w:type="dxa" w:w="2880"/>
          </w:tcPr>
          <w:p>
            <w:r>
              <w:t>Sub-Requirement (Story / Specific Capabilities)</w:t>
            </w:r>
          </w:p>
        </w:tc>
      </w:tr>
      <w:tr>
        <w:tc>
          <w:tcPr>
            <w:tcW w:type="dxa" w:w="2880"/>
          </w:tcPr>
          <w:p>
            <w:r>
              <w:t>FR-1</w:t>
            </w:r>
          </w:p>
        </w:tc>
        <w:tc>
          <w:tcPr>
            <w:tcW w:type="dxa" w:w="2880"/>
          </w:tcPr>
          <w:p>
            <w:r>
              <w:t>Identity &amp; Access Management</w:t>
            </w:r>
          </w:p>
        </w:tc>
        <w:tc>
          <w:tcPr>
            <w:tcW w:type="dxa" w:w="2880"/>
          </w:tcPr>
          <w:p>
            <w:r>
              <w:t>• User sign-up with encrypted credential storage</w:t>
              <w:br/>
              <w:t>• JWT-based session management</w:t>
              <w:br/>
              <w:t>• Role-Based Access Control distinguishing Student and Admin permissions</w:t>
            </w:r>
          </w:p>
        </w:tc>
      </w:tr>
      <w:tr>
        <w:tc>
          <w:tcPr>
            <w:tcW w:type="dxa" w:w="2880"/>
          </w:tcPr>
          <w:p>
            <w:r>
              <w:t>FR-2</w:t>
            </w:r>
          </w:p>
        </w:tc>
        <w:tc>
          <w:tcPr>
            <w:tcW w:type="dxa" w:w="2880"/>
          </w:tcPr>
          <w:p>
            <w:r>
              <w:t>Study Content Ingestion</w:t>
            </w:r>
          </w:p>
        </w:tc>
        <w:tc>
          <w:tcPr>
            <w:tcW w:type="dxa" w:w="2880"/>
          </w:tcPr>
          <w:p>
            <w:r>
              <w:t>• Multi-format document parser (.txt, .md, .pdf)</w:t>
              <w:br/>
              <w:t>• Client-side and server-side file size and format validation</w:t>
              <w:br/>
              <w:t>• Storage of raw text content and metadata in MongoDB</w:t>
            </w:r>
          </w:p>
        </w:tc>
      </w:tr>
      <w:tr>
        <w:tc>
          <w:tcPr>
            <w:tcW w:type="dxa" w:w="2880"/>
          </w:tcPr>
          <w:p>
            <w:r>
              <w:t>FR-3</w:t>
            </w:r>
          </w:p>
        </w:tc>
        <w:tc>
          <w:tcPr>
            <w:tcW w:type="dxa" w:w="2880"/>
          </w:tcPr>
          <w:p>
            <w:r>
              <w:t>Automated Content Summarization</w:t>
            </w:r>
          </w:p>
        </w:tc>
        <w:tc>
          <w:tcPr>
            <w:tcW w:type="dxa" w:w="2880"/>
          </w:tcPr>
          <w:p>
            <w:r>
              <w:t>• Prompt formulation for contextual compression</w:t>
              <w:br/>
              <w:t>• Gemini 2.5 Flash API execution for concise educational summaries</w:t>
              <w:br/>
              <w:t>• Real-time rendering and persistence of generated summaries</w:t>
            </w:r>
          </w:p>
        </w:tc>
      </w:tr>
      <w:tr>
        <w:tc>
          <w:tcPr>
            <w:tcW w:type="dxa" w:w="2880"/>
          </w:tcPr>
          <w:p>
            <w:r>
              <w:t>FR-4</w:t>
            </w:r>
          </w:p>
        </w:tc>
        <w:tc>
          <w:tcPr>
            <w:tcW w:type="dxa" w:w="2880"/>
          </w:tcPr>
          <w:p>
            <w:r>
              <w:t>Active Recall &amp; Flashcard Synthesis</w:t>
            </w:r>
          </w:p>
        </w:tc>
        <w:tc>
          <w:tcPr>
            <w:tcW w:type="dxa" w:w="2880"/>
          </w:tcPr>
          <w:p>
            <w:r>
              <w:t>• Extraction of core terminology and definitions</w:t>
              <w:br/>
              <w:t>• Dynamic pair generation (concept/definition or question/answer)</w:t>
              <w:br/>
              <w:t>• Flashcard review and retention history tracking</w:t>
            </w:r>
          </w:p>
        </w:tc>
      </w:tr>
      <w:tr>
        <w:tc>
          <w:tcPr>
            <w:tcW w:type="dxa" w:w="2880"/>
          </w:tcPr>
          <w:p>
            <w:r>
              <w:t>FR-5</w:t>
            </w:r>
          </w:p>
        </w:tc>
        <w:tc>
          <w:tcPr>
            <w:tcW w:type="dxa" w:w="2880"/>
          </w:tcPr>
          <w:p>
            <w:r>
              <w:t>Self-Assessment Quiz Engine</w:t>
            </w:r>
          </w:p>
        </w:tc>
        <w:tc>
          <w:tcPr>
            <w:tcW w:type="dxa" w:w="2880"/>
          </w:tcPr>
          <w:p>
            <w:r>
              <w:t>• Automated formulation of multiple-choice questions</w:t>
              <w:br/>
              <w:t>• Multiple distractor choices with unambiguous answers</w:t>
              <w:br/>
              <w:t>• Performance evaluation and result visualization</w:t>
            </w:r>
          </w:p>
        </w:tc>
      </w:tr>
      <w:tr>
        <w:tc>
          <w:tcPr>
            <w:tcW w:type="dxa" w:w="2880"/>
          </w:tcPr>
          <w:p>
            <w:r>
              <w:t>FR-6</w:t>
            </w:r>
          </w:p>
        </w:tc>
        <w:tc>
          <w:tcPr>
            <w:tcW w:type="dxa" w:w="2880"/>
          </w:tcPr>
          <w:p>
            <w:r>
              <w:t>Adaptive Revision Scheduler</w:t>
            </w:r>
          </w:p>
        </w:tc>
        <w:tc>
          <w:tcPr>
            <w:tcW w:type="dxa" w:w="2880"/>
          </w:tcPr>
          <w:p>
            <w:r>
              <w:t>• Timeframe inputs (daily study hours, target exam date)</w:t>
              <w:br/>
              <w:t>• Synthesis of modular, 7-day or custom study agendas</w:t>
              <w:br/>
              <w:t>• Task checklists and progress tracking</w:t>
            </w:r>
          </w:p>
        </w:tc>
      </w:tr>
    </w:tbl>
    <w:p>
      <w:pPr>
        <w:pStyle w:val="Heading1"/>
      </w:pPr>
      <w:r>
        <w:t>2. Non-Functional Requirements</w:t>
      </w:r>
    </w:p>
    <w:p>
      <w:r>
        <w:t>Architectural, operational, and quality attributes of the platform: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NFR No.</w:t>
            </w:r>
          </w:p>
        </w:tc>
        <w:tc>
          <w:tcPr>
            <w:tcW w:type="dxa" w:w="2880"/>
          </w:tcPr>
          <w:p>
            <w:r>
              <w:t>Non-Functional Requirement</w:t>
            </w:r>
          </w:p>
        </w:tc>
        <w:tc>
          <w:tcPr>
            <w:tcW w:type="dxa" w:w="2880"/>
          </w:tcPr>
          <w:p>
            <w:r>
              <w:t>Specification &amp; Implementation Strategy</w:t>
            </w:r>
          </w:p>
        </w:tc>
      </w:tr>
      <w:tr>
        <w:tc>
          <w:tcPr>
            <w:tcW w:type="dxa" w:w="2880"/>
          </w:tcPr>
          <w:p>
            <w:r>
              <w:t>NFR-1</w:t>
            </w:r>
          </w:p>
        </w:tc>
        <w:tc>
          <w:tcPr>
            <w:tcW w:type="dxa" w:w="2880"/>
          </w:tcPr>
          <w:p>
            <w:r>
              <w:t>Usability</w:t>
            </w:r>
          </w:p>
        </w:tc>
        <w:tc>
          <w:tcPr>
            <w:tcW w:type="dxa" w:w="2880"/>
          </w:tcPr>
          <w:p>
            <w:r>
              <w:t>Intuitive, clean interface built with responsive React components, ensuring streamlined content upload and fast resource consumption without steep learning curves.</w:t>
            </w:r>
          </w:p>
        </w:tc>
      </w:tr>
      <w:tr>
        <w:tc>
          <w:tcPr>
            <w:tcW w:type="dxa" w:w="2880"/>
          </w:tcPr>
          <w:p>
            <w:r>
              <w:t>NFR-2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Implementation of industry-standard bcrypt encryption (salt rounds = 10) for stored passwords, JSON Web Tokens (JWT) for stateless route protection, and input sanitization against injection.</w:t>
            </w:r>
          </w:p>
        </w:tc>
      </w:tr>
      <w:tr>
        <w:tc>
          <w:tcPr>
            <w:tcW w:type="dxa" w:w="2880"/>
          </w:tcPr>
          <w:p>
            <w:r>
              <w:t>NFR-3</w:t>
            </w:r>
          </w:p>
        </w:tc>
        <w:tc>
          <w:tcPr>
            <w:tcW w:type="dxa" w:w="2880"/>
          </w:tcPr>
          <w:p>
            <w:r>
              <w:t>Reliability</w:t>
            </w:r>
          </w:p>
        </w:tc>
        <w:tc>
          <w:tcPr>
            <w:tcW w:type="dxa" w:w="2880"/>
          </w:tcPr>
          <w:p>
            <w:r>
              <w:t>Robust exception handling utilizing express-async-errors, consistent HTTP status code responses, and database transaction protection to maintain consistent state across failures.</w:t>
            </w:r>
          </w:p>
        </w:tc>
      </w:tr>
      <w:tr>
        <w:tc>
          <w:tcPr>
            <w:tcW w:type="dxa" w:w="2880"/>
          </w:tcPr>
          <w:p>
            <w:r>
              <w:t>NFR-4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Sub-second response times for standard database queries; AI processing latency managed via asynchronous API communication and progress indicators on the frontend.</w:t>
            </w:r>
          </w:p>
        </w:tc>
      </w:tr>
      <w:tr>
        <w:tc>
          <w:tcPr>
            <w:tcW w:type="dxa" w:w="2880"/>
          </w:tcPr>
          <w:p>
            <w:r>
              <w:t>NFR-5</w:t>
            </w:r>
          </w:p>
        </w:tc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Designed for 99.9% uptime by leveraging containerized Node.js services and managed cloud database infrastructure (MongoDB Atlas) with automated failover.</w:t>
            </w:r>
          </w:p>
        </w:tc>
      </w:tr>
      <w:tr>
        <w:tc>
          <w:tcPr>
            <w:tcW w:type="dxa" w:w="2880"/>
          </w:tcPr>
          <w:p>
            <w:r>
              <w:t>NFR-6</w:t>
            </w:r>
          </w:p>
        </w:tc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Modular REST API architecture following MVC principles, enabling horizontal scaling of Express backend instances without data coupling.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