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97"/>
        <w:tblLayout w:type="fixed"/>
        <w:tblLook w:firstRow="1" w:lastRow="1" w:firstColumn="0" w:lastColumn="0" w:noHBand="0" w:noVBand="0" w:val="0020"/>
      </w:tblPr>
      <w:tblGrid>
        <w:gridCol w:w="3102"/>
        <w:gridCol w:w="1306"/>
        <w:gridCol w:w="1632"/>
        <w:gridCol w:w="171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Primary (GLM)</w:t>
            </w:r>
          </w:p>
        </w:tc>
        <w:tc>
          <w:tcPr/>
          <w:p>
            <w:pPr>
              <w:pStyle w:val="Compact"/>
            </w:pPr>
            <w:r>
              <w:t xml:space="preserve">Multilevel (GLMM)</w:t>
            </w:r>
          </w:p>
        </w:tc>
        <w:tc>
          <w:tcPr/>
          <w:p>
            <w:pPr>
              <w:pStyle w:val="Compact"/>
            </w:pPr>
            <w:r>
              <w:t xml:space="preserve">Top-box robustness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0.436***</w:t>
            </w:r>
          </w:p>
        </w:tc>
        <w:tc>
          <w:tcPr/>
          <w:p>
            <w:pPr>
              <w:pStyle w:val="Compact"/>
            </w:pPr>
            <w:r>
              <w:t xml:space="preserve">-0.010</w:t>
            </w:r>
          </w:p>
        </w:tc>
        <w:tc>
          <w:tcPr/>
          <w:p>
            <w:pPr>
              <w:pStyle w:val="Compact"/>
            </w:pPr>
            <w:r>
              <w:t xml:space="preserve">0.119***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(0.052)</w:t>
            </w:r>
          </w:p>
        </w:tc>
        <w:tc>
          <w:tcPr/>
          <w:p>
            <w:pPr>
              <w:pStyle w:val="Compact"/>
            </w:pPr>
            <w:r>
              <w:t xml:space="preserve">(0.008)</w:t>
            </w:r>
          </w:p>
        </w:tc>
        <w:tc>
          <w:tcPr/>
          <w:p>
            <w:pPr>
              <w:pStyle w:val="Compact"/>
            </w:pPr>
            <w:r>
              <w:t xml:space="preserve">(0.019)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Care Transition (linear score)</w:t>
            </w:r>
          </w:p>
        </w:tc>
        <w:tc>
          <w:tcPr/>
          <w:p>
            <w:pPr>
              <w:pStyle w:val="Compact"/>
            </w:pPr>
            <w:r>
              <w:t xml:space="preserve">-0.005***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Log(Beds)</w:t>
            </w:r>
          </w:p>
        </w:tc>
        <w:tc>
          <w:tcPr/>
          <w:p>
            <w:pPr>
              <w:pStyle w:val="Compact"/>
            </w:pPr>
            <w:r>
              <w:t xml:space="preserve">-0.006**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-0.005*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Resident-to-Bed Ratio</w:t>
            </w:r>
          </w:p>
        </w:tc>
        <w:tc>
          <w:tcPr/>
          <w:p>
            <w:pPr>
              <w:pStyle w:val="Compact"/>
            </w:pPr>
            <w:r>
              <w:t xml:space="preserve">-0.016*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-0.014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DSH Percentage</w:t>
            </w:r>
          </w:p>
        </w:tc>
        <w:tc>
          <w:tcPr/>
          <w:p>
            <w:pPr>
              <w:pStyle w:val="Compact"/>
            </w:pPr>
            <w:r>
              <w:t xml:space="preserve">0.064***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0.071***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RegionNortheast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(0.007)</w:t>
            </w:r>
          </w:p>
        </w:tc>
        <w:tc>
          <w:tcPr/>
          <w:p>
            <w:pPr>
              <w:pStyle w:val="Compact"/>
            </w:pPr>
            <w:r>
              <w:t xml:space="preserve">(0.012)</w:t>
            </w:r>
          </w:p>
        </w:tc>
        <w:tc>
          <w:tcPr/>
          <w:p>
            <w:pPr>
              <w:pStyle w:val="Compact"/>
            </w:pPr>
            <w:r>
              <w:t xml:space="preserve">(0.007)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RegionSouth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0.014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(0.010)</w:t>
            </w: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RegionWest</w:t>
            </w:r>
          </w:p>
        </w:tc>
        <w:tc>
          <w:tcPr/>
          <w:p>
            <w:pPr>
              <w:pStyle w:val="Compact"/>
            </w:pPr>
            <w:r>
              <w:t xml:space="preserve">-0.019*</w:t>
            </w:r>
          </w:p>
        </w:tc>
        <w:tc>
          <w:tcPr/>
          <w:p>
            <w:pPr>
              <w:pStyle w:val="Compact"/>
            </w:pPr>
            <w:r>
              <w:t xml:space="preserve">-0.020</w:t>
            </w:r>
          </w:p>
        </w:tc>
        <w:tc>
          <w:tcPr/>
          <w:p>
            <w:pPr>
              <w:pStyle w:val="Compact"/>
            </w:pPr>
            <w:r>
              <w:t xml:space="preserve">-0.018*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(0.008)</w:t>
            </w:r>
          </w:p>
        </w:tc>
        <w:tc>
          <w:tcPr/>
          <w:p>
            <w:pPr>
              <w:pStyle w:val="Compact"/>
            </w:pPr>
            <w:r>
              <w:t xml:space="preserve">(0.011)</w:t>
            </w:r>
          </w:p>
        </w:tc>
        <w:tc>
          <w:tcPr/>
          <w:p>
            <w:pPr>
              <w:pStyle w:val="Compact"/>
            </w:pPr>
            <w:r>
              <w:t xml:space="preserve">(0.009)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Care Transition (standardized)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-0.014***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Log(Beds), standardized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-0.006***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Resident-to-Bed Ratio, standardized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-0.003*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DSH Percentage, standardized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0.008***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Care Transition (% top-box)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-0.002***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 (Intercept State)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SD (Observations)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0.058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2411</w:t>
            </w:r>
          </w:p>
        </w:tc>
        <w:tc>
          <w:tcPr/>
          <w:p>
            <w:pPr>
              <w:pStyle w:val="Compact"/>
            </w:pPr>
            <w:r>
              <w:t xml:space="preserve">2411</w:t>
            </w:r>
          </w:p>
        </w:tc>
        <w:tc>
          <w:tcPr/>
          <w:p>
            <w:pPr>
              <w:pStyle w:val="Compact"/>
            </w:pPr>
            <w:r>
              <w:t xml:space="preserve">2411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Marg.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0.147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 Cond.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0.183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Std.Errors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</w:tr>
      <w:tr>
        <w:tc>
          <w:tcPr>
            <w:gridSpan w:val="4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0.05, ** p &lt; 0.01, *** p &lt; 0.001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Standard errors for the GLM specifications are clustered by state. The multilevel (GLMM)</w:t>
            </w:r>
            <w:r>
              <w:t xml:space="preserve"> </w:t>
            </w:r>
            <w:r>
              <w:t xml:space="preserve">specification uses model-based standard errors.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2026-10-10T20:22:30Z</dcterms:created>
  <dcterms:modified xsi:type="dcterms:W3CDTF">2026-10-10T20:22:30Z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