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12"/>
        <w:tblLayout w:type="fixed"/>
        <w:tblLook w:firstRow="1" w:lastRow="1" w:firstColumn="0" w:lastColumn="0" w:noHBand="0" w:noVBand="0" w:val="0020"/>
      </w:tblPr>
      <w:tblGrid>
        <w:gridCol w:w="2431"/>
        <w:gridCol w:w="1806"/>
        <w:gridCol w:w="1458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Condition-type (Add. 1)</w:t>
            </w:r>
          </w:p>
        </w:tc>
        <w:tc>
          <w:tcPr/>
          <w:p>
            <w:pPr>
              <w:pStyle w:val="Compact"/>
            </w:pPr>
            <w:r>
              <w:t xml:space="preserve">DSH-share (Add. 2)</w:t>
            </w:r>
          </w:p>
        </w:tc>
        <w:tc>
          <w:tcPr/>
          <w:p>
            <w:pPr>
              <w:pStyle w:val="Compact"/>
            </w:pPr>
            <w:r>
              <w:t xml:space="preserve">Domain interaction (Add.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0.036**</w:t>
            </w:r>
          </w:p>
        </w:tc>
        <w:tc>
          <w:tcPr/>
          <w:p>
            <w:pPr>
              <w:pStyle w:val="Compact"/>
            </w:pPr>
            <w:r>
              <w:t xml:space="preserve">0.470***</w:t>
            </w:r>
          </w:p>
        </w:tc>
        <w:tc>
          <w:tcPr/>
          <w:p>
            <w:pPr>
              <w:pStyle w:val="Compact"/>
            </w:pPr>
            <w:r>
              <w:t xml:space="preserve">0.024*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Transition (centered)</w:t>
            </w:r>
          </w:p>
        </w:tc>
        <w:tc>
          <w:tcPr/>
          <w:p>
            <w:pPr>
              <w:pStyle w:val="Compact"/>
            </w:pPr>
            <w:r>
              <w:t xml:space="preserve">-0.004***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Group: Surgical</w:t>
            </w:r>
          </w:p>
        </w:tc>
        <w:tc>
          <w:tcPr/>
          <w:p>
            <w:pPr>
              <w:pStyle w:val="Compact"/>
            </w:pPr>
            <w:r>
              <w:t xml:space="preserve">0.046***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Log(Beds)</w:t>
            </w:r>
          </w:p>
        </w:tc>
        <w:tc>
          <w:tcPr/>
          <w:p>
            <w:pPr>
              <w:pStyle w:val="Compact"/>
            </w:pPr>
            <w:r>
              <w:t xml:space="preserve">-0.009***</w:t>
            </w:r>
          </w:p>
        </w:tc>
        <w:tc>
          <w:tcPr/>
          <w:p>
            <w:pPr>
              <w:pStyle w:val="Compact"/>
            </w:pPr>
            <w:r>
              <w:t xml:space="preserve">-0.007***</w:t>
            </w:r>
          </w:p>
        </w:tc>
        <w:tc>
          <w:tcPr/>
          <w:p>
            <w:pPr>
              <w:pStyle w:val="Compact"/>
            </w:pPr>
            <w:r>
              <w:t xml:space="preserve">-0.007***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Resident-to-Bed Ratio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-0.015*</w:t>
            </w:r>
          </w:p>
        </w:tc>
        <w:tc>
          <w:tcPr/>
          <w:p>
            <w:pPr>
              <w:pStyle w:val="Compact"/>
            </w:pPr>
            <w:r>
              <w:t xml:space="preserve">-0.015*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DSH Percentage</w:t>
            </w:r>
          </w:p>
        </w:tc>
        <w:tc>
          <w:tcPr/>
          <w:p>
            <w:pPr>
              <w:pStyle w:val="Compact"/>
            </w:pPr>
            <w:r>
              <w:t xml:space="preserve">0.057***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RegionNortheast</w:t>
            </w:r>
          </w:p>
        </w:tc>
        <w:tc>
          <w:tcPr/>
          <w:p>
            <w:pPr>
              <w:pStyle w:val="Compact"/>
            </w:pPr>
            <w:r>
              <w:t xml:space="preserve">0.011*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RegionSouth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RegionWest</w:t>
            </w:r>
          </w:p>
        </w:tc>
        <w:tc>
          <w:tcPr/>
          <w:p>
            <w:pPr>
              <w:pStyle w:val="Compact"/>
            </w:pPr>
            <w:r>
              <w:t xml:space="preserve">-0.018***</w:t>
            </w:r>
          </w:p>
        </w:tc>
        <w:tc>
          <w:tcPr/>
          <w:p>
            <w:pPr>
              <w:pStyle w:val="Compact"/>
            </w:pPr>
            <w:r>
              <w:t xml:space="preserve">-0.019*</w:t>
            </w:r>
          </w:p>
        </w:tc>
        <w:tc>
          <w:tcPr/>
          <w:p>
            <w:pPr>
              <w:pStyle w:val="Compact"/>
            </w:pPr>
            <w:r>
              <w:t xml:space="preserve">-0.020*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Transition x Surgical</w:t>
            </w:r>
          </w:p>
        </w:tc>
        <w:tc>
          <w:tcPr/>
          <w:p>
            <w:pPr>
              <w:pStyle w:val="Compact"/>
            </w:pPr>
            <w:r>
              <w:t xml:space="preserve">-0.011***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Care Transition (linear score)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DSH Share (centered)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(0.265)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Care Transition x DSH Share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0.007*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Discharge Information (centered)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Transition x Discharge Info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2898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Standard errors clustered by facility ID (Addition 1, two rows per hospital) or by state (Additions 2-3).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2026-10-10T20:22:30Z</dcterms:created>
  <dcterms:modified xsi:type="dcterms:W3CDTF">2026-10-10T20:22:30Z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