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1E11" w14:textId="710EC9EB" w:rsidR="009709F1" w:rsidRPr="009709F1" w:rsidRDefault="009709F1" w:rsidP="009709F1">
      <w:pPr>
        <w:jc w:val="both"/>
        <w:rPr>
          <w:b/>
          <w:bCs/>
          <w:sz w:val="28"/>
          <w:szCs w:val="28"/>
        </w:rPr>
      </w:pPr>
      <w:r w:rsidRPr="009709F1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9709F1">
        <w:rPr>
          <w:b/>
          <w:bCs/>
          <w:sz w:val="28"/>
          <w:szCs w:val="28"/>
        </w:rPr>
        <w:t>Wprowadzenie</w:t>
      </w:r>
    </w:p>
    <w:p w14:paraId="7DE8D2FA" w14:textId="77777777" w:rsidR="009709F1" w:rsidRPr="009709F1" w:rsidRDefault="009709F1" w:rsidP="009709F1"/>
    <w:p w14:paraId="3647CFCB" w14:textId="35EAD98F" w:rsidR="009709F1" w:rsidRDefault="009709F1" w:rsidP="009709F1">
      <w:pPr>
        <w:jc w:val="both"/>
        <w:rPr>
          <w:b/>
          <w:bCs/>
          <w:sz w:val="28"/>
          <w:szCs w:val="28"/>
        </w:rPr>
      </w:pPr>
      <w:r w:rsidRPr="009709F1">
        <w:rPr>
          <w:b/>
          <w:bCs/>
          <w:sz w:val="28"/>
          <w:szCs w:val="28"/>
        </w:rPr>
        <w:t>2. Dane i metody badawcze</w:t>
      </w:r>
    </w:p>
    <w:p w14:paraId="3331AF30" w14:textId="77777777" w:rsidR="009709F1" w:rsidRPr="009709F1" w:rsidRDefault="009709F1" w:rsidP="009709F1">
      <w:pPr>
        <w:jc w:val="both"/>
        <w:rPr>
          <w:b/>
          <w:bCs/>
          <w:sz w:val="28"/>
          <w:szCs w:val="28"/>
        </w:rPr>
      </w:pPr>
    </w:p>
    <w:p w14:paraId="78708E1E" w14:textId="2646037B" w:rsidR="009709F1" w:rsidRPr="009709F1" w:rsidRDefault="009709F1" w:rsidP="009709F1">
      <w:pPr>
        <w:jc w:val="both"/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2.1. Źródło i zakres danych</w:t>
      </w:r>
    </w:p>
    <w:p w14:paraId="25FC86DD" w14:textId="5B1C3F53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Badanie przeprowadzono na podstawie danych statystycznych opisujących sytuację finansową i rozwojową jednostek samorządu terytorialnego w Polsce. Dane obejmują lata 2019</w:t>
      </w:r>
      <w:r>
        <w:rPr>
          <w:sz w:val="22"/>
          <w:szCs w:val="22"/>
        </w:rPr>
        <w:t>-</w:t>
      </w:r>
      <w:r w:rsidRPr="009709F1">
        <w:rPr>
          <w:sz w:val="22"/>
          <w:szCs w:val="22"/>
        </w:rPr>
        <w:t>2023, co umożliwiło zarówno analizę przekrojową, jak i ocenę zmian zachodzących w czasie. Jednostkami analizy były powiaty, dla których dostępne były kompletne informacje w analizowanym okresie.</w:t>
      </w:r>
    </w:p>
    <w:p w14:paraId="087D5A2C" w14:textId="67004BBD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Zestaw danych ma charakter wielowymiarowy i obejmuje zmienne finansowe wyrażone zarówno w wartościach bezwzględnych, jak i w przeliczeniu na mieszkańca, a także wskaźniki strukturalne opisujące kondycję budżetową oraz potencjał rozwojowy jednostek. Dane zostały wstępnie przetworzone w celu zapewnienia ich porównywalności oraz poprawności dalszych analiz.</w:t>
      </w:r>
    </w:p>
    <w:p w14:paraId="2C1772E9" w14:textId="4552B7EB" w:rsidR="009709F1" w:rsidRPr="009709F1" w:rsidRDefault="009709F1" w:rsidP="009709F1">
      <w:pPr>
        <w:jc w:val="both"/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2.2. Dobór i charakterystyka zmiennych diagnostycznych</w:t>
      </w:r>
    </w:p>
    <w:p w14:paraId="097B3265" w14:textId="0826DF42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Do analizy wybrano zestaw zmiennych diagnostycznych opisujących kluczowe aspekty funkcjonowania finansowego powiatów, w szczególności:</w:t>
      </w:r>
    </w:p>
    <w:p w14:paraId="471CFFE0" w14:textId="3EA98382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poziom i strukturę dochodów oraz wydatków,</w:t>
      </w:r>
    </w:p>
    <w:p w14:paraId="5C4B97A1" w14:textId="5F89A5C6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zdolność generowania nadwyżki operacyjnej,</w:t>
      </w:r>
    </w:p>
    <w:p w14:paraId="6302EE7D" w14:textId="5441132E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poziom zadłużenia,</w:t>
      </w:r>
    </w:p>
    <w:p w14:paraId="20F22DEE" w14:textId="514B63D0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potencjał inwestycyjny i rozwojowy,</w:t>
      </w:r>
    </w:p>
    <w:p w14:paraId="6836839B" w14:textId="564F8FF6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wielkość jednostki mierzona liczbą ludności.</w:t>
      </w:r>
    </w:p>
    <w:p w14:paraId="2618E3E2" w14:textId="11668B7F" w:rsid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 xml:space="preserve">Zmiennym przypisano charakter stymulant lub </w:t>
      </w:r>
      <w:proofErr w:type="spellStart"/>
      <w:r w:rsidRPr="009709F1">
        <w:rPr>
          <w:sz w:val="22"/>
          <w:szCs w:val="22"/>
        </w:rPr>
        <w:t>destymulant</w:t>
      </w:r>
      <w:proofErr w:type="spellEnd"/>
      <w:r w:rsidRPr="009709F1">
        <w:rPr>
          <w:sz w:val="22"/>
          <w:szCs w:val="22"/>
        </w:rPr>
        <w:t xml:space="preserve"> zgodnie z ich interpretacją ekonomiczną. Jako </w:t>
      </w:r>
      <w:proofErr w:type="spellStart"/>
      <w:r w:rsidRPr="009709F1">
        <w:rPr>
          <w:sz w:val="22"/>
          <w:szCs w:val="22"/>
        </w:rPr>
        <w:t>destymulantę</w:t>
      </w:r>
      <w:proofErr w:type="spellEnd"/>
      <w:r w:rsidRPr="009709F1">
        <w:rPr>
          <w:sz w:val="22"/>
          <w:szCs w:val="22"/>
        </w:rPr>
        <w:t xml:space="preserve"> przyjęto zmienną opisującą zobowiązania ogółem na mieszkańca, ponieważ wyższy poziom zadłużenia może negatywnie wpływać na sytuację finansową jednostki. Pozostałe zmienne potraktowano jako stymulanty, dla których wyższe wartości świadczą o korzystniejszej sytuacji rozwojowej powiatu.</w:t>
      </w:r>
    </w:p>
    <w:p w14:paraId="408F13B0" w14:textId="77777777" w:rsidR="009709F1" w:rsidRPr="009709F1" w:rsidRDefault="009709F1" w:rsidP="009709F1">
      <w:pPr>
        <w:jc w:val="both"/>
        <w:rPr>
          <w:sz w:val="22"/>
          <w:szCs w:val="22"/>
        </w:rPr>
      </w:pPr>
    </w:p>
    <w:p w14:paraId="5870B104" w14:textId="23EB2ECB" w:rsidR="00730E48" w:rsidRPr="009709F1" w:rsidRDefault="009709F1" w:rsidP="009709F1">
      <w:pPr>
        <w:jc w:val="both"/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2.3. Metody badawcze</w:t>
      </w:r>
    </w:p>
    <w:p w14:paraId="104B6EA7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2.3.1. Analiza głównych składowych (PCA)</w:t>
      </w:r>
    </w:p>
    <w:p w14:paraId="38E0AEDF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Analiza głównych składowych została zastosowana w celu redukcji wymiarowości danych oraz identyfikacji głównych czynników różnicujących badane powiaty. Metoda PCA umożliwiła przekształcenie pierwotnego zbioru skorelowanych zmiennych w mniejszą liczbę nieskorelowanych składowych głównych, które zachowują możliwie największą część wariancji danych.</w:t>
      </w:r>
    </w:p>
    <w:p w14:paraId="1EA16F50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lastRenderedPageBreak/>
        <w:t>Na podstawie wartości ładunków czynnikowych dokonano interpretacji znaczenia ekonomicznego wyodrębnionych składowych, które opisują m.in. intensywność finansową, stabilność budżetową, orientację inwestycyjną oraz efekt skali związany z wielkością jednostki.</w:t>
      </w:r>
    </w:p>
    <w:p w14:paraId="323822C9" w14:textId="4E4152FE" w:rsidR="009709F1" w:rsidRPr="009709F1" w:rsidRDefault="009709F1" w:rsidP="009709F1">
      <w:pPr>
        <w:jc w:val="both"/>
        <w:rPr>
          <w:sz w:val="22"/>
          <w:szCs w:val="22"/>
        </w:rPr>
      </w:pPr>
    </w:p>
    <w:p w14:paraId="2E9B40E1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2.3.2. Analiza skupień</w:t>
      </w:r>
    </w:p>
    <w:p w14:paraId="1514B2A3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Analiza skupień została wykorzystana w celu identyfikacji grup powiatów o podobnych charakterystykach. Zastosowano zarówno metody hierarchiczne, jak i niehierarchiczne, co pozwoliło na uzyskanie stabilnych i interpretowalnych grup obiektów.</w:t>
      </w:r>
    </w:p>
    <w:p w14:paraId="1BBA893C" w14:textId="65673F76" w:rsid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Celem analizy skupień było wyodrębnienie typów powiatów o zbliżonej strukturze finansowej i rozwojowej oraz porównanie ich charakterystyk. Metoda ta nie prowadzi do jednoznacznego uporządkowania obiektów, lecz umożliwia ocenę ich podobieństwa i zróżnicowania.</w:t>
      </w:r>
    </w:p>
    <w:p w14:paraId="5A471F48" w14:textId="77777777" w:rsidR="009709F1" w:rsidRPr="009709F1" w:rsidRDefault="009709F1" w:rsidP="009709F1">
      <w:pPr>
        <w:jc w:val="both"/>
        <w:rPr>
          <w:sz w:val="22"/>
          <w:szCs w:val="22"/>
        </w:rPr>
      </w:pPr>
    </w:p>
    <w:p w14:paraId="5E2F8FBF" w14:textId="4C013D31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 xml:space="preserve">2.3.3. Porządkowanie liniowe </w:t>
      </w:r>
      <w:r>
        <w:rPr>
          <w:sz w:val="22"/>
          <w:szCs w:val="22"/>
        </w:rPr>
        <w:t>-</w:t>
      </w:r>
      <w:r w:rsidRPr="009709F1">
        <w:rPr>
          <w:sz w:val="22"/>
          <w:szCs w:val="22"/>
        </w:rPr>
        <w:t>Taksonomiczny Miernik Rozwoju (TMR)</w:t>
      </w:r>
    </w:p>
    <w:p w14:paraId="61AA8121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W celu jednoznacznej oceny poziomu rozwoju badanych jednostek zastosowano taksonomiczny miernik rozwoju (TMR), który pozwala na syntetyczne ujęcie wielu zmiennych diagnostycznych w postaci jednej miary.</w:t>
      </w:r>
    </w:p>
    <w:p w14:paraId="6528BAA9" w14:textId="7777777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>Konstrukcja TMR obejmowała:</w:t>
      </w:r>
    </w:p>
    <w:p w14:paraId="668DBFE8" w14:textId="7AACCB2F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standaryzację zmiennych,</w:t>
      </w:r>
    </w:p>
    <w:p w14:paraId="6708114D" w14:textId="421BE818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 xml:space="preserve">uwzględnienie charakteru stymulant i </w:t>
      </w:r>
      <w:proofErr w:type="spellStart"/>
      <w:r w:rsidRPr="009709F1">
        <w:rPr>
          <w:sz w:val="22"/>
          <w:szCs w:val="22"/>
        </w:rPr>
        <w:t>destymulant</w:t>
      </w:r>
      <w:proofErr w:type="spellEnd"/>
      <w:r w:rsidRPr="009709F1">
        <w:rPr>
          <w:sz w:val="22"/>
          <w:szCs w:val="22"/>
        </w:rPr>
        <w:t>,</w:t>
      </w:r>
    </w:p>
    <w:p w14:paraId="3B8CB800" w14:textId="5C810DB1" w:rsidR="009709F1" w:rsidRPr="009709F1" w:rsidRDefault="009709F1" w:rsidP="009709F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709F1">
        <w:rPr>
          <w:sz w:val="22"/>
          <w:szCs w:val="22"/>
        </w:rPr>
        <w:t>zastosowanie trzech metod ważenia zmiennych: współczynnika zmienności (CV), metody CRITIC oraz miary entropii.</w:t>
      </w:r>
    </w:p>
    <w:p w14:paraId="207BA999" w14:textId="104C2DA7" w:rsidR="009709F1" w:rsidRPr="009709F1" w:rsidRDefault="009709F1" w:rsidP="009709F1">
      <w:pPr>
        <w:jc w:val="both"/>
        <w:rPr>
          <w:sz w:val="22"/>
          <w:szCs w:val="22"/>
        </w:rPr>
      </w:pPr>
      <w:r w:rsidRPr="009709F1">
        <w:rPr>
          <w:sz w:val="22"/>
          <w:szCs w:val="22"/>
        </w:rPr>
        <w:t xml:space="preserve">Na podstawie obliczonych wartości TMR sporządzono rankingi powiatów dla poszczególnych lat, co umożliwiło analizę zmian pozycji jednostek w czasie oraz ocenę stabilności uzyskanych </w:t>
      </w:r>
      <w:proofErr w:type="spellStart"/>
      <w:r w:rsidRPr="009709F1">
        <w:rPr>
          <w:sz w:val="22"/>
          <w:szCs w:val="22"/>
        </w:rPr>
        <w:t>uporządkowa</w:t>
      </w:r>
      <w:r>
        <w:rPr>
          <w:sz w:val="22"/>
          <w:szCs w:val="22"/>
        </w:rPr>
        <w:t>ń</w:t>
      </w:r>
      <w:proofErr w:type="spellEnd"/>
      <w:r>
        <w:rPr>
          <w:sz w:val="22"/>
          <w:szCs w:val="22"/>
        </w:rPr>
        <w:t>.</w:t>
      </w:r>
    </w:p>
    <w:p w14:paraId="45223DB2" w14:textId="77777777" w:rsidR="009709F1" w:rsidRDefault="009709F1" w:rsidP="009709F1">
      <w:pPr>
        <w:rPr>
          <w:b/>
          <w:bCs/>
        </w:rPr>
      </w:pPr>
    </w:p>
    <w:p w14:paraId="0D1F62EC" w14:textId="6D64FA15" w:rsidR="009709F1" w:rsidRDefault="009709F1" w:rsidP="009709F1">
      <w:pPr>
        <w:rPr>
          <w:b/>
          <w:bCs/>
          <w:sz w:val="28"/>
          <w:szCs w:val="28"/>
        </w:rPr>
      </w:pPr>
      <w:r w:rsidRPr="009709F1">
        <w:rPr>
          <w:b/>
          <w:bCs/>
          <w:sz w:val="28"/>
          <w:szCs w:val="28"/>
        </w:rPr>
        <w:t xml:space="preserve">3. </w:t>
      </w:r>
      <w:r w:rsidRPr="009709F1">
        <w:rPr>
          <w:b/>
          <w:bCs/>
          <w:sz w:val="28"/>
          <w:szCs w:val="28"/>
        </w:rPr>
        <w:t>Interpretacja wyników</w:t>
      </w:r>
    </w:p>
    <w:p w14:paraId="56AC667D" w14:textId="77777777" w:rsidR="009709F1" w:rsidRDefault="009709F1" w:rsidP="009709F1">
      <w:pPr>
        <w:rPr>
          <w:b/>
          <w:bCs/>
          <w:sz w:val="28"/>
          <w:szCs w:val="28"/>
        </w:rPr>
      </w:pPr>
    </w:p>
    <w:p w14:paraId="7B0CC5A9" w14:textId="35DB0876" w:rsidR="009709F1" w:rsidRDefault="009709F1" w:rsidP="009709F1">
      <w:pPr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3.1</w:t>
      </w:r>
      <w:r>
        <w:rPr>
          <w:b/>
          <w:bCs/>
          <w:sz w:val="22"/>
          <w:szCs w:val="22"/>
        </w:rPr>
        <w:t xml:space="preserve"> </w:t>
      </w:r>
      <w:r w:rsidRPr="009709F1">
        <w:rPr>
          <w:b/>
          <w:bCs/>
          <w:sz w:val="22"/>
          <w:szCs w:val="22"/>
        </w:rPr>
        <w:t>PCA</w:t>
      </w:r>
    </w:p>
    <w:p w14:paraId="261DBBCD" w14:textId="77777777" w:rsidR="009709F1" w:rsidRPr="009709F1" w:rsidRDefault="009709F1" w:rsidP="009709F1">
      <w:pPr>
        <w:rPr>
          <w:b/>
          <w:bCs/>
          <w:sz w:val="22"/>
          <w:szCs w:val="22"/>
        </w:rPr>
      </w:pPr>
    </w:p>
    <w:p w14:paraId="563FD939" w14:textId="04E3DF43" w:rsidR="009709F1" w:rsidRDefault="009709F1" w:rsidP="009709F1">
      <w:pPr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3.2</w:t>
      </w:r>
      <w:r>
        <w:rPr>
          <w:b/>
          <w:bCs/>
          <w:sz w:val="22"/>
          <w:szCs w:val="22"/>
        </w:rPr>
        <w:t xml:space="preserve"> </w:t>
      </w:r>
      <w:r w:rsidRPr="009709F1">
        <w:rPr>
          <w:b/>
          <w:bCs/>
          <w:sz w:val="22"/>
          <w:szCs w:val="22"/>
        </w:rPr>
        <w:t>Analiza skupień</w:t>
      </w:r>
    </w:p>
    <w:p w14:paraId="69EB4A36" w14:textId="77777777" w:rsidR="009709F1" w:rsidRPr="009709F1" w:rsidRDefault="009709F1" w:rsidP="009709F1">
      <w:pPr>
        <w:rPr>
          <w:b/>
          <w:bCs/>
          <w:sz w:val="22"/>
          <w:szCs w:val="22"/>
        </w:rPr>
      </w:pPr>
    </w:p>
    <w:p w14:paraId="3EF44EBA" w14:textId="7600CF99" w:rsidR="00730E48" w:rsidRPr="009709F1" w:rsidRDefault="009709F1" w:rsidP="00730E4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 w:rsidR="00730E48" w:rsidRPr="009709F1">
        <w:rPr>
          <w:b/>
          <w:bCs/>
          <w:sz w:val="22"/>
          <w:szCs w:val="22"/>
        </w:rPr>
        <w:t>P</w:t>
      </w:r>
      <w:r w:rsidR="00730E48" w:rsidRPr="009709F1">
        <w:rPr>
          <w:b/>
          <w:bCs/>
          <w:sz w:val="22"/>
          <w:szCs w:val="22"/>
        </w:rPr>
        <w:t>orządkowani</w:t>
      </w:r>
      <w:r w:rsidR="00730E48" w:rsidRPr="009709F1">
        <w:rPr>
          <w:b/>
          <w:bCs/>
          <w:sz w:val="22"/>
          <w:szCs w:val="22"/>
        </w:rPr>
        <w:t>e</w:t>
      </w:r>
      <w:r w:rsidR="00730E48" w:rsidRPr="009709F1">
        <w:rPr>
          <w:b/>
          <w:bCs/>
          <w:sz w:val="22"/>
          <w:szCs w:val="22"/>
        </w:rPr>
        <w:t xml:space="preserve"> liniowe</w:t>
      </w:r>
      <w:r w:rsidR="00730E48" w:rsidRPr="009709F1">
        <w:rPr>
          <w:b/>
          <w:bCs/>
          <w:sz w:val="22"/>
          <w:szCs w:val="22"/>
        </w:rPr>
        <w:t xml:space="preserve"> </w:t>
      </w:r>
      <w:r w:rsidR="00730E48" w:rsidRPr="009709F1">
        <w:rPr>
          <w:b/>
          <w:bCs/>
          <w:sz w:val="22"/>
          <w:szCs w:val="22"/>
        </w:rPr>
        <w:t>(TMR)</w:t>
      </w:r>
    </w:p>
    <w:p w14:paraId="07618CF7" w14:textId="218BE691" w:rsidR="00D134F9" w:rsidRDefault="00D134F9" w:rsidP="00D62FF3">
      <w:pPr>
        <w:jc w:val="both"/>
        <w:rPr>
          <w:sz w:val="22"/>
          <w:szCs w:val="22"/>
        </w:rPr>
      </w:pPr>
      <w:r w:rsidRPr="00D134F9">
        <w:rPr>
          <w:sz w:val="22"/>
          <w:szCs w:val="22"/>
        </w:rPr>
        <w:lastRenderedPageBreak/>
        <w:t>W celu syntetycznej oceny poziomu rozwoju badanych jednostek zastosowano taksonomiczny miernik rozwoju (TMR). Obliczenia wykonano dla lat 2019</w:t>
      </w:r>
      <w:r>
        <w:rPr>
          <w:sz w:val="22"/>
          <w:szCs w:val="22"/>
        </w:rPr>
        <w:t>-</w:t>
      </w:r>
      <w:r w:rsidRPr="00D134F9">
        <w:rPr>
          <w:sz w:val="22"/>
          <w:szCs w:val="22"/>
        </w:rPr>
        <w:t>2023 z wykorzystaniem trzech metod ważenia zmiennych: współczynnika zmienności (CV), metody CRITIC oraz miary entropii. Na tej podstawie uzyskano wartości miernika syntetycznego oraz sporządzono rankingi jednostek dla poszczególnych lat.</w:t>
      </w:r>
    </w:p>
    <w:p w14:paraId="2F3235A8" w14:textId="520E3DB1" w:rsidR="00730E48" w:rsidRPr="009709F1" w:rsidRDefault="00730E48" w:rsidP="00D62FF3">
      <w:pPr>
        <w:jc w:val="both"/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Rok 2019</w:t>
      </w:r>
    </w:p>
    <w:p w14:paraId="01AB21FC" w14:textId="3D2AD4CB" w:rsidR="00730E48" w:rsidRPr="009709F1" w:rsidRDefault="00730E48" w:rsidP="00D62FF3">
      <w:pPr>
        <w:jc w:val="both"/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drawing>
          <wp:inline distT="0" distB="0" distL="0" distR="0" wp14:anchorId="68A85A3E" wp14:editId="24110CF5">
            <wp:extent cx="5722620" cy="1361440"/>
            <wp:effectExtent l="0" t="0" r="0" b="0"/>
            <wp:docPr id="7907226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262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5"/>
                    <a:srcRect l="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6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C869E" w14:textId="77777777" w:rsidR="00D134F9" w:rsidRPr="00D134F9" w:rsidRDefault="00D134F9" w:rsidP="00D134F9">
      <w:pPr>
        <w:jc w:val="both"/>
        <w:rPr>
          <w:sz w:val="22"/>
          <w:szCs w:val="22"/>
        </w:rPr>
      </w:pPr>
      <w:r w:rsidRPr="00D134F9">
        <w:rPr>
          <w:sz w:val="22"/>
          <w:szCs w:val="22"/>
        </w:rPr>
        <w:t>W 2019 roku ranking TMR pozwolił na wyodrębnienie grupy jednostek osiągających najwyższe wartości miernika syntetycznego, co wskazuje na ich relatywnie korzystną sytuację społeczno-ekonomiczną w analizowanym roku. Jednocześnie widoczna jest grupa jednostek o najniższych wartościach TMR, które zajmują końcowe pozycje rankingu, co oznacza słabszą ocenę syntetyczną w porównaniu do pozostałych obiektów.</w:t>
      </w:r>
    </w:p>
    <w:p w14:paraId="59C50B20" w14:textId="77777777" w:rsidR="00D134F9" w:rsidRPr="00D134F9" w:rsidRDefault="00D134F9" w:rsidP="00D134F9">
      <w:pPr>
        <w:jc w:val="both"/>
        <w:rPr>
          <w:sz w:val="22"/>
          <w:szCs w:val="22"/>
        </w:rPr>
      </w:pPr>
      <w:r w:rsidRPr="00D134F9">
        <w:rPr>
          <w:sz w:val="22"/>
          <w:szCs w:val="22"/>
        </w:rPr>
        <w:t>Rozkład wartości TMR w 2019 roku wskazuje na istotne zróżnicowanie badanych jednostek, zarówno w górnej, jak i dolnej części rankingu, co potwierdza zasadność zastosowania metod porządkowania liniowego w analizie tego typu danych.</w:t>
      </w:r>
    </w:p>
    <w:p w14:paraId="61D2148B" w14:textId="1C5B2D1F" w:rsidR="00730E48" w:rsidRPr="009709F1" w:rsidRDefault="00730E48" w:rsidP="00D134F9">
      <w:pPr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Rok</w:t>
      </w:r>
      <w:r w:rsidR="00D134F9">
        <w:rPr>
          <w:b/>
          <w:bCs/>
          <w:sz w:val="22"/>
          <w:szCs w:val="22"/>
        </w:rPr>
        <w:t xml:space="preserve"> </w:t>
      </w:r>
      <w:r w:rsidRPr="009709F1">
        <w:rPr>
          <w:b/>
          <w:bCs/>
          <w:sz w:val="22"/>
          <w:szCs w:val="22"/>
        </w:rPr>
        <w:t>2023</w:t>
      </w:r>
      <w:r w:rsidRPr="009709F1">
        <w:rPr>
          <w:b/>
          <w:bCs/>
          <w:sz w:val="22"/>
          <w:szCs w:val="22"/>
        </w:rPr>
        <w:drawing>
          <wp:inline distT="0" distB="0" distL="0" distR="0" wp14:anchorId="2744D81A" wp14:editId="686E5217">
            <wp:extent cx="5760720" cy="1446530"/>
            <wp:effectExtent l="0" t="0" r="0" b="1270"/>
            <wp:docPr id="918137345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3734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FAA3" w14:textId="77777777" w:rsidR="00D134F9" w:rsidRPr="00D134F9" w:rsidRDefault="00D134F9" w:rsidP="00D134F9">
      <w:pPr>
        <w:jc w:val="both"/>
        <w:rPr>
          <w:sz w:val="22"/>
          <w:szCs w:val="22"/>
        </w:rPr>
      </w:pPr>
      <w:r w:rsidRPr="00D134F9">
        <w:rPr>
          <w:sz w:val="22"/>
          <w:szCs w:val="22"/>
        </w:rPr>
        <w:t>Analogiczna analiza przeprowadzona dla 2023 roku pokazuje, że ranking jednostek uległ zmianom w porównaniu z 2019 rokiem. Skład jednostek zajmujących najwyższe pozycje w rankingu w 2023 roku nie jest identyczny jak w roku bazowym, co świadczy o przesunięciach w syntetycznej ocenie poziomu rozwoju.</w:t>
      </w:r>
    </w:p>
    <w:p w14:paraId="7B8FEBCB" w14:textId="77777777" w:rsidR="00D134F9" w:rsidRPr="00D134F9" w:rsidRDefault="00D134F9" w:rsidP="00D134F9">
      <w:pPr>
        <w:jc w:val="both"/>
        <w:rPr>
          <w:sz w:val="22"/>
          <w:szCs w:val="22"/>
        </w:rPr>
      </w:pPr>
      <w:r w:rsidRPr="00D134F9">
        <w:rPr>
          <w:sz w:val="22"/>
          <w:szCs w:val="22"/>
        </w:rPr>
        <w:t>Podobnie jak w 2019 roku, również w 2023 roku obserwuje się wyraźne zróżnicowanie wartości TMR pomiędzy jednostkami zajmującymi czołowe i końcowe pozycje rankingu. Oznacza to, że różnice w poziomie rozwoju badanych obiektów utrzymują się również w końcowym roku analizy.</w:t>
      </w:r>
    </w:p>
    <w:p w14:paraId="26C08C11" w14:textId="77777777" w:rsidR="00730E48" w:rsidRPr="009709F1" w:rsidRDefault="00730E48" w:rsidP="00D62FF3">
      <w:pPr>
        <w:jc w:val="both"/>
        <w:rPr>
          <w:b/>
          <w:bCs/>
          <w:sz w:val="22"/>
          <w:szCs w:val="22"/>
        </w:rPr>
      </w:pPr>
      <w:r w:rsidRPr="009709F1">
        <w:rPr>
          <w:b/>
          <w:bCs/>
          <w:sz w:val="22"/>
          <w:szCs w:val="22"/>
        </w:rPr>
        <w:t>Zgodność rankingów i stabilność wyników</w:t>
      </w:r>
    </w:p>
    <w:p w14:paraId="46662589" w14:textId="77777777" w:rsidR="00D134F9" w:rsidRPr="00D134F9" w:rsidRDefault="00D134F9" w:rsidP="00D134F9">
      <w:pPr>
        <w:jc w:val="both"/>
        <w:rPr>
          <w:sz w:val="22"/>
          <w:szCs w:val="22"/>
        </w:rPr>
      </w:pPr>
      <w:r w:rsidRPr="00D134F9">
        <w:rPr>
          <w:sz w:val="22"/>
          <w:szCs w:val="22"/>
        </w:rPr>
        <w:t xml:space="preserve">Porównanie rankingów uzyskanych z wykorzystaniem różnych metod ważenia zmiennych (CV, CRITIC, entropia) wskazuje na ich ogólną zgodność. Choć poszczególne jednostki mogą zajmować nieco odmienne pozycje w zależności od zastosowanej metody, to ogólny podział na </w:t>
      </w:r>
      <w:r w:rsidRPr="00D134F9">
        <w:rPr>
          <w:sz w:val="22"/>
          <w:szCs w:val="22"/>
        </w:rPr>
        <w:lastRenderedPageBreak/>
        <w:t>jednostki o wysokich i niskich wartościach TMR pozostaje zbliżony. Świadczy to o względnej stabilności uzyskanych wyników oraz o tym, że wybór metody ważenia nie prowadzi do zasadniczo odmiennych wniosków.</w:t>
      </w:r>
    </w:p>
    <w:p w14:paraId="588695F2" w14:textId="77777777" w:rsidR="009709F1" w:rsidRDefault="009709F1" w:rsidP="00D62FF3">
      <w:pPr>
        <w:jc w:val="both"/>
        <w:rPr>
          <w:sz w:val="22"/>
          <w:szCs w:val="22"/>
        </w:rPr>
      </w:pPr>
    </w:p>
    <w:p w14:paraId="36640B1B" w14:textId="36645346" w:rsidR="009709F1" w:rsidRDefault="009709F1" w:rsidP="009709F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9709F1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Dyskusja / porównanie</w:t>
      </w:r>
    </w:p>
    <w:p w14:paraId="7CB6C9A3" w14:textId="562C36A1" w:rsidR="009709F1" w:rsidRPr="009709F1" w:rsidRDefault="009709F1" w:rsidP="009709F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9709F1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Wnioski końcowe</w:t>
      </w:r>
    </w:p>
    <w:p w14:paraId="1B573C73" w14:textId="77777777" w:rsidR="009709F1" w:rsidRPr="009709F1" w:rsidRDefault="009709F1" w:rsidP="009709F1">
      <w:pPr>
        <w:jc w:val="both"/>
        <w:rPr>
          <w:b/>
          <w:bCs/>
          <w:sz w:val="28"/>
          <w:szCs w:val="28"/>
        </w:rPr>
      </w:pPr>
    </w:p>
    <w:p w14:paraId="5371E06A" w14:textId="06A9AD25" w:rsidR="009709F1" w:rsidRPr="009709F1" w:rsidRDefault="009709F1" w:rsidP="00D62FF3">
      <w:pPr>
        <w:jc w:val="both"/>
        <w:rPr>
          <w:sz w:val="22"/>
          <w:szCs w:val="22"/>
        </w:rPr>
      </w:pPr>
    </w:p>
    <w:p w14:paraId="73258A6C" w14:textId="2C3037D9" w:rsidR="00730E48" w:rsidRPr="009709F1" w:rsidRDefault="00730E48">
      <w:pPr>
        <w:rPr>
          <w:sz w:val="22"/>
          <w:szCs w:val="22"/>
        </w:rPr>
      </w:pPr>
    </w:p>
    <w:sectPr w:rsidR="00730E48" w:rsidRPr="00970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E69"/>
    <w:multiLevelType w:val="multilevel"/>
    <w:tmpl w:val="47E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C2D17"/>
    <w:multiLevelType w:val="multilevel"/>
    <w:tmpl w:val="FDF4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47F6E"/>
    <w:multiLevelType w:val="hybridMultilevel"/>
    <w:tmpl w:val="0E16BC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067889">
    <w:abstractNumId w:val="0"/>
  </w:num>
  <w:num w:numId="2" w16cid:durableId="1267158409">
    <w:abstractNumId w:val="1"/>
  </w:num>
  <w:num w:numId="3" w16cid:durableId="38302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48"/>
    <w:rsid w:val="005C2769"/>
    <w:rsid w:val="00730E48"/>
    <w:rsid w:val="009709F1"/>
    <w:rsid w:val="00D134F9"/>
    <w:rsid w:val="00D6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968E3"/>
  <w15:chartTrackingRefBased/>
  <w15:docId w15:val="{3BDBC829-5CB8-4DBB-BE62-B75ACC3F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3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3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3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3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3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3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3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3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3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3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3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3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30E4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30E4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30E4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30E4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30E4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30E4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3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3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3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3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3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30E4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30E4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30E4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3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30E4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3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815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Wanesa Konkel</dc:creator>
  <cp:keywords/>
  <dc:description/>
  <cp:lastModifiedBy>Wanesa Konkel</cp:lastModifiedBy>
  <cp:revision>1</cp:revision>
  <dcterms:created xsi:type="dcterms:W3CDTF">2026-01-19T19:47:00Z</dcterms:created>
  <dcterms:modified xsi:type="dcterms:W3CDTF">2026-01-19T20:30:00Z</dcterms:modified>
</cp:coreProperties>
</file>