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B328D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 w:rsidRPr="00274A08"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entfernen</w:t>
      </w:r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945D6">
        <w:rPr>
          <w:rFonts w:ascii="Arial" w:hAnsi="Arial" w:cs="Arial"/>
          <w:sz w:val="24"/>
          <w:szCs w:val="24"/>
        </w:rPr>
        <w:t xml:space="preserve">Hypothesen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(at-issue, not-at-issue, content word, functional word)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r w:rsidR="00BF5FBE" w:rsidRPr="00BF5FBE">
        <w:rPr>
          <w:rFonts w:ascii="Arial" w:hAnsi="Arial" w:cs="Arial"/>
          <w:sz w:val="24"/>
          <w:szCs w:val="24"/>
        </w:rPr>
        <w:t>Fokus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>Untersuchung von issueness und content/functional word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5B4848D" w:rsidR="00FE6106" w:rsidRDefault="006F55B8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22A651E6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then z-score the results using the standard deviation and average only </w:t>
      </w:r>
      <w:r>
        <w:rPr>
          <w:rFonts w:ascii="Arial" w:hAnsi="Arial" w:cs="Arial"/>
          <w:sz w:val="24"/>
          <w:szCs w:val="24"/>
        </w:rPr>
        <w:lastRenderedPageBreak/>
        <w:t xml:space="preserve">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e.g.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>seiner Schwester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>Peter isst den Kuchen. Nein, den Apfel.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r w:rsidRPr="00BF19F1">
        <w:rPr>
          <w:rFonts w:ascii="Arial" w:hAnsi="Arial" w:cs="Arial"/>
          <w:i/>
          <w:sz w:val="24"/>
          <w:szCs w:val="24"/>
        </w:rPr>
        <w:t>Hä? Naja, … Ähm</w:t>
      </w:r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functional words, i.e., not prepositions</w:t>
      </w:r>
    </w:p>
    <w:p w14:paraId="67D6D3F3" w14:textId="72032537" w:rsidR="00C23D5B" w:rsidRPr="00383C63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lastRenderedPageBreak/>
        <w:t>Dialogues without contrast, e.g., B: Yes, with Bill.</w:t>
      </w:r>
    </w:p>
    <w:sectPr w:rsidR="00C23D5B" w:rsidRPr="00383C63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21013C"/>
    <w:rsid w:val="0021244A"/>
    <w:rsid w:val="00274A08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A051F"/>
    <w:rsid w:val="006F0C17"/>
    <w:rsid w:val="006F55B8"/>
    <w:rsid w:val="00720566"/>
    <w:rsid w:val="00746192"/>
    <w:rsid w:val="007464D5"/>
    <w:rsid w:val="00760649"/>
    <w:rsid w:val="007C319E"/>
    <w:rsid w:val="007D0686"/>
    <w:rsid w:val="007F5E33"/>
    <w:rsid w:val="00800E0B"/>
    <w:rsid w:val="00837A04"/>
    <w:rsid w:val="00876EF3"/>
    <w:rsid w:val="008928DB"/>
    <w:rsid w:val="009536AD"/>
    <w:rsid w:val="00980127"/>
    <w:rsid w:val="009945D6"/>
    <w:rsid w:val="009B06A0"/>
    <w:rsid w:val="00A20907"/>
    <w:rsid w:val="00A84E5E"/>
    <w:rsid w:val="00AA73D9"/>
    <w:rsid w:val="00AF21BF"/>
    <w:rsid w:val="00B2265E"/>
    <w:rsid w:val="00B249D1"/>
    <w:rsid w:val="00BF19F1"/>
    <w:rsid w:val="00BF48E3"/>
    <w:rsid w:val="00BF5FBE"/>
    <w:rsid w:val="00C20BF6"/>
    <w:rsid w:val="00C23D5B"/>
    <w:rsid w:val="00C27F13"/>
    <w:rsid w:val="00CE0386"/>
    <w:rsid w:val="00D04424"/>
    <w:rsid w:val="00D122C2"/>
    <w:rsid w:val="00D27394"/>
    <w:rsid w:val="00DA31FB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70</cp:revision>
  <dcterms:created xsi:type="dcterms:W3CDTF">2023-05-10T07:03:00Z</dcterms:created>
  <dcterms:modified xsi:type="dcterms:W3CDTF">2023-06-11T08:43:00Z</dcterms:modified>
</cp:coreProperties>
</file>