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D93285" w:rsidRDefault="00257634" w:rsidP="006C170E">
      <w:pPr>
        <w:suppressLineNumbers/>
        <w:spacing w:after="0" w:line="360" w:lineRule="auto"/>
        <w:jc w:val="center"/>
        <w:rPr>
          <w:rFonts w:cs="Arial"/>
          <w:szCs w:val="24"/>
        </w:rPr>
      </w:pPr>
      <w:r w:rsidRPr="00D93285">
        <w:rPr>
          <w:rFonts w:cs="Arial"/>
          <w:szCs w:val="24"/>
        </w:rPr>
        <w:t>Miriam Schiele</w:t>
      </w:r>
    </w:p>
    <w:p w14:paraId="75E54B00" w14:textId="77777777" w:rsidR="00B225D6" w:rsidRPr="00D93285" w:rsidRDefault="00B225D6" w:rsidP="006C170E">
      <w:pPr>
        <w:suppressLineNumbers/>
        <w:spacing w:after="0" w:line="360" w:lineRule="auto"/>
        <w:jc w:val="center"/>
        <w:rPr>
          <w:rFonts w:cs="Arial"/>
          <w:szCs w:val="24"/>
        </w:rPr>
      </w:pPr>
      <w:r w:rsidRPr="00D93285">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5B511906" w14:textId="0FED63D1" w:rsidR="00D9328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93285" w:rsidRPr="000772AD">
        <w:rPr>
          <w:rFonts w:cs="Arial"/>
          <w:noProof/>
          <w:lang w:val="en-US"/>
        </w:rPr>
        <w:t>1. Introduction</w:t>
      </w:r>
      <w:r w:rsidR="00D93285" w:rsidRPr="00D93285">
        <w:rPr>
          <w:noProof/>
          <w:lang w:val="en-US"/>
        </w:rPr>
        <w:tab/>
      </w:r>
      <w:r w:rsidR="00D93285">
        <w:rPr>
          <w:noProof/>
        </w:rPr>
        <w:fldChar w:fldCharType="begin"/>
      </w:r>
      <w:r w:rsidR="00D93285" w:rsidRPr="00D93285">
        <w:rPr>
          <w:noProof/>
          <w:lang w:val="en-US"/>
        </w:rPr>
        <w:instrText xml:space="preserve"> PAGEREF _Toc137890496 \h </w:instrText>
      </w:r>
      <w:r w:rsidR="00D93285">
        <w:rPr>
          <w:noProof/>
        </w:rPr>
      </w:r>
      <w:r w:rsidR="00D93285">
        <w:rPr>
          <w:noProof/>
        </w:rPr>
        <w:fldChar w:fldCharType="separate"/>
      </w:r>
      <w:r w:rsidR="00714079">
        <w:rPr>
          <w:noProof/>
          <w:lang w:val="en-US"/>
        </w:rPr>
        <w:t>4</w:t>
      </w:r>
      <w:r w:rsidR="00D93285">
        <w:rPr>
          <w:noProof/>
        </w:rPr>
        <w:fldChar w:fldCharType="end"/>
      </w:r>
    </w:p>
    <w:p w14:paraId="5139E367" w14:textId="2171C2B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2. Literary review</w:t>
      </w:r>
      <w:r w:rsidRPr="00D93285">
        <w:rPr>
          <w:noProof/>
          <w:lang w:val="en-US"/>
        </w:rPr>
        <w:tab/>
      </w:r>
      <w:r>
        <w:rPr>
          <w:noProof/>
        </w:rPr>
        <w:fldChar w:fldCharType="begin"/>
      </w:r>
      <w:r w:rsidRPr="00D93285">
        <w:rPr>
          <w:noProof/>
          <w:lang w:val="en-US"/>
        </w:rPr>
        <w:instrText xml:space="preserve"> PAGEREF _Toc137890497 \h </w:instrText>
      </w:r>
      <w:r>
        <w:rPr>
          <w:noProof/>
        </w:rPr>
      </w:r>
      <w:r>
        <w:rPr>
          <w:noProof/>
        </w:rPr>
        <w:fldChar w:fldCharType="separate"/>
      </w:r>
      <w:r w:rsidR="00714079">
        <w:rPr>
          <w:noProof/>
          <w:lang w:val="en-US"/>
        </w:rPr>
        <w:t>6</w:t>
      </w:r>
      <w:r>
        <w:rPr>
          <w:noProof/>
        </w:rPr>
        <w:fldChar w:fldCharType="end"/>
      </w:r>
    </w:p>
    <w:p w14:paraId="34D5D9A9" w14:textId="47014FC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3. Data and method</w:t>
      </w:r>
      <w:r w:rsidRPr="00D93285">
        <w:rPr>
          <w:noProof/>
          <w:lang w:val="en-US"/>
        </w:rPr>
        <w:tab/>
      </w:r>
      <w:r>
        <w:rPr>
          <w:noProof/>
        </w:rPr>
        <w:fldChar w:fldCharType="begin"/>
      </w:r>
      <w:r w:rsidRPr="00D93285">
        <w:rPr>
          <w:noProof/>
          <w:lang w:val="en-US"/>
        </w:rPr>
        <w:instrText xml:space="preserve"> PAGEREF _Toc137890498 \h </w:instrText>
      </w:r>
      <w:r>
        <w:rPr>
          <w:noProof/>
        </w:rPr>
      </w:r>
      <w:r>
        <w:rPr>
          <w:noProof/>
        </w:rPr>
        <w:fldChar w:fldCharType="separate"/>
      </w:r>
      <w:r w:rsidR="00714079">
        <w:rPr>
          <w:noProof/>
          <w:lang w:val="en-US"/>
        </w:rPr>
        <w:t>8</w:t>
      </w:r>
      <w:r>
        <w:rPr>
          <w:noProof/>
        </w:rPr>
        <w:fldChar w:fldCharType="end"/>
      </w:r>
    </w:p>
    <w:p w14:paraId="0B0BE9CF" w14:textId="4EFF9EFC"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3.1 Study design</w:t>
      </w:r>
      <w:r w:rsidRPr="00D93285">
        <w:rPr>
          <w:noProof/>
          <w:lang w:val="en-US"/>
        </w:rPr>
        <w:tab/>
      </w:r>
      <w:r>
        <w:rPr>
          <w:noProof/>
        </w:rPr>
        <w:fldChar w:fldCharType="begin"/>
      </w:r>
      <w:r w:rsidRPr="00D93285">
        <w:rPr>
          <w:noProof/>
          <w:lang w:val="en-US"/>
        </w:rPr>
        <w:instrText xml:space="preserve"> PAGEREF _Toc137890499 \h </w:instrText>
      </w:r>
      <w:r>
        <w:rPr>
          <w:noProof/>
        </w:rPr>
      </w:r>
      <w:r>
        <w:rPr>
          <w:noProof/>
        </w:rPr>
        <w:fldChar w:fldCharType="separate"/>
      </w:r>
      <w:r w:rsidR="00714079">
        <w:rPr>
          <w:noProof/>
          <w:lang w:val="en-US"/>
        </w:rPr>
        <w:t>8</w:t>
      </w:r>
      <w:r>
        <w:rPr>
          <w:noProof/>
        </w:rPr>
        <w:fldChar w:fldCharType="end"/>
      </w:r>
    </w:p>
    <w:p w14:paraId="631573A1" w14:textId="2050DCB3"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3.2 Participants</w:t>
      </w:r>
      <w:r w:rsidRPr="00D93285">
        <w:rPr>
          <w:noProof/>
          <w:lang w:val="en-US"/>
        </w:rPr>
        <w:tab/>
      </w:r>
      <w:r>
        <w:rPr>
          <w:noProof/>
        </w:rPr>
        <w:fldChar w:fldCharType="begin"/>
      </w:r>
      <w:r w:rsidRPr="00D93285">
        <w:rPr>
          <w:noProof/>
          <w:lang w:val="en-US"/>
        </w:rPr>
        <w:instrText xml:space="preserve"> PAGEREF _Toc137890500 \h </w:instrText>
      </w:r>
      <w:r>
        <w:rPr>
          <w:noProof/>
        </w:rPr>
      </w:r>
      <w:r>
        <w:rPr>
          <w:noProof/>
        </w:rPr>
        <w:fldChar w:fldCharType="separate"/>
      </w:r>
      <w:r w:rsidR="00714079">
        <w:rPr>
          <w:noProof/>
          <w:lang w:val="en-US"/>
        </w:rPr>
        <w:t>9</w:t>
      </w:r>
      <w:r>
        <w:rPr>
          <w:noProof/>
        </w:rPr>
        <w:fldChar w:fldCharType="end"/>
      </w:r>
    </w:p>
    <w:p w14:paraId="4901C1A0" w14:textId="0E735794"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4. Findings</w:t>
      </w:r>
      <w:r w:rsidRPr="00D93285">
        <w:rPr>
          <w:noProof/>
          <w:lang w:val="en-US"/>
        </w:rPr>
        <w:tab/>
      </w:r>
      <w:r>
        <w:rPr>
          <w:noProof/>
        </w:rPr>
        <w:fldChar w:fldCharType="begin"/>
      </w:r>
      <w:r w:rsidRPr="00D93285">
        <w:rPr>
          <w:noProof/>
          <w:lang w:val="en-US"/>
        </w:rPr>
        <w:instrText xml:space="preserve"> PAGEREF _Toc137890501 \h </w:instrText>
      </w:r>
      <w:r>
        <w:rPr>
          <w:noProof/>
        </w:rPr>
      </w:r>
      <w:r>
        <w:rPr>
          <w:noProof/>
        </w:rPr>
        <w:fldChar w:fldCharType="separate"/>
      </w:r>
      <w:r w:rsidR="00714079">
        <w:rPr>
          <w:noProof/>
          <w:lang w:val="en-US"/>
        </w:rPr>
        <w:t>9</w:t>
      </w:r>
      <w:r>
        <w:rPr>
          <w:noProof/>
        </w:rPr>
        <w:fldChar w:fldCharType="end"/>
      </w:r>
    </w:p>
    <w:p w14:paraId="636E04AB" w14:textId="0E6AB742"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5. Discussion</w:t>
      </w:r>
      <w:r w:rsidRPr="00D93285">
        <w:rPr>
          <w:noProof/>
          <w:lang w:val="en-US"/>
        </w:rPr>
        <w:tab/>
      </w:r>
      <w:r>
        <w:rPr>
          <w:noProof/>
        </w:rPr>
        <w:fldChar w:fldCharType="begin"/>
      </w:r>
      <w:r w:rsidRPr="00D93285">
        <w:rPr>
          <w:noProof/>
          <w:lang w:val="en-US"/>
        </w:rPr>
        <w:instrText xml:space="preserve"> PAGEREF _Toc137890502 \h </w:instrText>
      </w:r>
      <w:r>
        <w:rPr>
          <w:noProof/>
        </w:rPr>
      </w:r>
      <w:r>
        <w:rPr>
          <w:noProof/>
        </w:rPr>
        <w:fldChar w:fldCharType="separate"/>
      </w:r>
      <w:r w:rsidR="00714079">
        <w:rPr>
          <w:noProof/>
          <w:lang w:val="en-US"/>
        </w:rPr>
        <w:t>9</w:t>
      </w:r>
      <w:r>
        <w:rPr>
          <w:noProof/>
        </w:rPr>
        <w:fldChar w:fldCharType="end"/>
      </w:r>
    </w:p>
    <w:p w14:paraId="0EB60365" w14:textId="7029033E"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6. Conclusions</w:t>
      </w:r>
      <w:r w:rsidRPr="00D93285">
        <w:rPr>
          <w:noProof/>
          <w:lang w:val="en-US"/>
        </w:rPr>
        <w:tab/>
      </w:r>
      <w:r>
        <w:rPr>
          <w:noProof/>
        </w:rPr>
        <w:fldChar w:fldCharType="begin"/>
      </w:r>
      <w:r w:rsidRPr="00D93285">
        <w:rPr>
          <w:noProof/>
          <w:lang w:val="en-US"/>
        </w:rPr>
        <w:instrText xml:space="preserve"> PAGEREF _Toc137890503 \h </w:instrText>
      </w:r>
      <w:r>
        <w:rPr>
          <w:noProof/>
        </w:rPr>
      </w:r>
      <w:r>
        <w:rPr>
          <w:noProof/>
        </w:rPr>
        <w:fldChar w:fldCharType="separate"/>
      </w:r>
      <w:r w:rsidR="00714079">
        <w:rPr>
          <w:noProof/>
          <w:lang w:val="en-US"/>
        </w:rPr>
        <w:t>9</w:t>
      </w:r>
      <w:r>
        <w:rPr>
          <w:noProof/>
        </w:rPr>
        <w:fldChar w:fldCharType="end"/>
      </w:r>
    </w:p>
    <w:p w14:paraId="77ACE30C" w14:textId="52C80F6C"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7. References</w:t>
      </w:r>
      <w:r w:rsidRPr="00D93285">
        <w:rPr>
          <w:noProof/>
          <w:lang w:val="en-US"/>
        </w:rPr>
        <w:tab/>
      </w:r>
      <w:r>
        <w:rPr>
          <w:noProof/>
        </w:rPr>
        <w:fldChar w:fldCharType="begin"/>
      </w:r>
      <w:r w:rsidRPr="00D93285">
        <w:rPr>
          <w:noProof/>
          <w:lang w:val="en-US"/>
        </w:rPr>
        <w:instrText xml:space="preserve"> PAGEREF _Toc137890504 \h </w:instrText>
      </w:r>
      <w:r>
        <w:rPr>
          <w:noProof/>
        </w:rPr>
      </w:r>
      <w:r>
        <w:rPr>
          <w:noProof/>
        </w:rPr>
        <w:fldChar w:fldCharType="separate"/>
      </w:r>
      <w:r w:rsidR="00714079">
        <w:rPr>
          <w:noProof/>
          <w:lang w:val="en-US"/>
        </w:rPr>
        <w:t>10</w:t>
      </w:r>
      <w:r>
        <w:rPr>
          <w:noProof/>
        </w:rPr>
        <w:fldChar w:fldCharType="end"/>
      </w:r>
    </w:p>
    <w:p w14:paraId="3E8F4DC1" w14:textId="2AF58A16"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8. Appendix</w:t>
      </w:r>
      <w:r w:rsidRPr="00D93285">
        <w:rPr>
          <w:noProof/>
          <w:lang w:val="en-US"/>
        </w:rPr>
        <w:tab/>
      </w:r>
      <w:r>
        <w:rPr>
          <w:noProof/>
        </w:rPr>
        <w:fldChar w:fldCharType="begin"/>
      </w:r>
      <w:r w:rsidRPr="00D93285">
        <w:rPr>
          <w:noProof/>
          <w:lang w:val="en-US"/>
        </w:rPr>
        <w:instrText xml:space="preserve"> PAGEREF _Toc137890505 \h </w:instrText>
      </w:r>
      <w:r>
        <w:rPr>
          <w:noProof/>
        </w:rPr>
      </w:r>
      <w:r>
        <w:rPr>
          <w:noProof/>
        </w:rPr>
        <w:fldChar w:fldCharType="separate"/>
      </w:r>
      <w:r w:rsidR="00714079">
        <w:rPr>
          <w:noProof/>
          <w:lang w:val="en-US"/>
        </w:rPr>
        <w:t>11</w:t>
      </w:r>
      <w:r>
        <w:rPr>
          <w:noProof/>
        </w:rPr>
        <w:fldChar w:fldCharType="end"/>
      </w:r>
    </w:p>
    <w:p w14:paraId="1AA6AB79" w14:textId="4D6745B9"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8.1 Abbreviations, symbols and other notational conventions</w:t>
      </w:r>
      <w:r w:rsidRPr="00D93285">
        <w:rPr>
          <w:noProof/>
          <w:lang w:val="en-US"/>
        </w:rPr>
        <w:tab/>
      </w:r>
      <w:r>
        <w:rPr>
          <w:noProof/>
        </w:rPr>
        <w:fldChar w:fldCharType="begin"/>
      </w:r>
      <w:r w:rsidRPr="00D93285">
        <w:rPr>
          <w:noProof/>
          <w:lang w:val="en-US"/>
        </w:rPr>
        <w:instrText xml:space="preserve"> PAGEREF _Toc137890506 \h </w:instrText>
      </w:r>
      <w:r>
        <w:rPr>
          <w:noProof/>
        </w:rPr>
      </w:r>
      <w:r>
        <w:rPr>
          <w:noProof/>
        </w:rPr>
        <w:fldChar w:fldCharType="separate"/>
      </w:r>
      <w:r w:rsidR="00714079">
        <w:rPr>
          <w:noProof/>
          <w:lang w:val="en-US"/>
        </w:rPr>
        <w:t>11</w:t>
      </w:r>
      <w:r>
        <w:rPr>
          <w:noProof/>
        </w:rPr>
        <w:fldChar w:fldCharType="end"/>
      </w:r>
    </w:p>
    <w:p w14:paraId="070D09F1" w14:textId="7DF4AE68"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8.2 List of stimuli</w:t>
      </w:r>
      <w:r w:rsidRPr="00D93285">
        <w:rPr>
          <w:noProof/>
          <w:lang w:val="en-US"/>
        </w:rPr>
        <w:tab/>
      </w:r>
      <w:r>
        <w:rPr>
          <w:noProof/>
        </w:rPr>
        <w:fldChar w:fldCharType="begin"/>
      </w:r>
      <w:r w:rsidRPr="00D93285">
        <w:rPr>
          <w:noProof/>
          <w:lang w:val="en-US"/>
        </w:rPr>
        <w:instrText xml:space="preserve"> PAGEREF _Toc137890507 \h </w:instrText>
      </w:r>
      <w:r>
        <w:rPr>
          <w:noProof/>
        </w:rPr>
      </w:r>
      <w:r>
        <w:rPr>
          <w:noProof/>
        </w:rPr>
        <w:fldChar w:fldCharType="separate"/>
      </w:r>
      <w:r w:rsidR="00714079">
        <w:rPr>
          <w:noProof/>
          <w:lang w:val="en-US"/>
        </w:rPr>
        <w:t>12</w:t>
      </w:r>
      <w:r>
        <w:rPr>
          <w:noProof/>
        </w:rPr>
        <w:fldChar w:fldCharType="end"/>
      </w:r>
    </w:p>
    <w:p w14:paraId="53E76A41" w14:textId="1A4312E2"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7890496"/>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EB66BF" w:rsidRDefault="00346437" w:rsidP="00AC19C8">
      <w:pPr>
        <w:pStyle w:val="Listenabsatz"/>
        <w:suppressLineNumbers/>
        <w:spacing w:after="0" w:line="240" w:lineRule="auto"/>
        <w:jc w:val="both"/>
        <w:rPr>
          <w:rFonts w:cs="Arial"/>
          <w:iCs/>
          <w:szCs w:val="24"/>
        </w:rPr>
      </w:pPr>
      <w:r w:rsidRPr="00D93285">
        <w:rPr>
          <w:rFonts w:cs="Arial"/>
          <w:iCs/>
          <w:szCs w:val="24"/>
        </w:rPr>
        <w:tab/>
      </w:r>
      <w:r w:rsidRPr="00EB66BF">
        <w:rPr>
          <w:rFonts w:cs="Arial"/>
          <w:iCs/>
          <w:szCs w:val="24"/>
        </w:rPr>
        <w:t>‘</w:t>
      </w:r>
      <w:r w:rsidR="0023763D" w:rsidRPr="00EB66BF">
        <w:rPr>
          <w:rFonts w:cs="Arial"/>
          <w:iCs/>
          <w:szCs w:val="24"/>
        </w:rPr>
        <w:t>No, UNTIL 6pm.</w:t>
      </w:r>
      <w:r w:rsidRPr="00EB66BF">
        <w:rPr>
          <w:rFonts w:cs="Arial"/>
          <w:iCs/>
          <w:szCs w:val="24"/>
        </w:rPr>
        <w:t>’</w:t>
      </w:r>
      <w:r w:rsidR="00131E5A" w:rsidRPr="00EB66BF">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7F5222E1" w:rsidR="004E00AE" w:rsidRDefault="004E00AE" w:rsidP="004E00AE">
      <w:pPr>
        <w:suppressLineNumbers/>
        <w:spacing w:after="0" w:line="360" w:lineRule="auto"/>
        <w:ind w:firstLine="567"/>
        <w:jc w:val="both"/>
        <w:rPr>
          <w:rFonts w:cs="Arial"/>
          <w:szCs w:val="24"/>
          <w:lang w:val="en-US"/>
        </w:rPr>
      </w:pPr>
      <w:r w:rsidRPr="004E00AE">
        <w:rPr>
          <w:lang w:val="en-US"/>
        </w:rPr>
        <w:t>While speaker B's response in (1) lacks a complete sentence structure, it does convey a meaning that corresponds to a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79ECF8DD"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particularly when it comes to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7890497"/>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75DEB7C2"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E174FE" w:rsidRPr="00E946FC">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(Krifka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AE0947">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labelling</w:t>
      </w:r>
      <w:r>
        <w:rPr>
          <w:lang w:val="en-US"/>
        </w:rPr>
        <w:t xml:space="preserve"> (cf. Beckman &amp; Ayers 1997)</w:t>
      </w:r>
      <w:r>
        <w:rPr>
          <w:lang w:val="en-US"/>
        </w:rPr>
        <w:t xml:space="preserve">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Contrastive focus has been characterized phonologically with a L+H* pitch for English and German (cf. Wagner 1999).</w:t>
      </w:r>
      <w:r>
        <w:rPr>
          <w:rFonts w:cs="Arial"/>
          <w:szCs w:val="24"/>
          <w:lang w:val="en-US"/>
        </w:rPr>
        <w:t xml:space="preserve"> This leads to the hypothesis that </w:t>
      </w:r>
      <w:r w:rsidR="001C4AD1">
        <w:rPr>
          <w:rFonts w:cs="Arial"/>
          <w:szCs w:val="24"/>
          <w:lang w:val="en-US"/>
        </w:rPr>
        <w:t>prosodically ma</w:t>
      </w:r>
      <w:r w:rsidR="001C4AD1">
        <w:rPr>
          <w:rFonts w:cs="Arial"/>
          <w:szCs w:val="24"/>
          <w:lang w:val="en-US"/>
        </w:rPr>
        <w:t xml:space="preserve">rking </w:t>
      </w:r>
      <w:r>
        <w:rPr>
          <w:rFonts w:cs="Arial"/>
          <w:szCs w:val="24"/>
          <w:lang w:val="en-US"/>
        </w:rPr>
        <w:t xml:space="preserve">contrasting words </w:t>
      </w:r>
      <w:r w:rsidR="001C4AD1">
        <w:rPr>
          <w:rFonts w:cs="Arial"/>
          <w:szCs w:val="24"/>
          <w:lang w:val="en-US"/>
        </w:rPr>
        <w:t xml:space="preserve">may </w:t>
      </w:r>
      <w:commentRangeStart w:id="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8"/>
      <w:r w:rsidR="001C4AD1">
        <w:rPr>
          <w:rStyle w:val="Kommentarzeichen"/>
        </w:rPr>
        <w:commentReference w:id="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31327955" w:rsidR="00B61337" w:rsidRDefault="00B61337" w:rsidP="008D1EE2">
      <w:pPr>
        <w:suppressLineNumbers/>
        <w:spacing w:after="0" w:line="360" w:lineRule="auto"/>
        <w:jc w:val="both"/>
        <w:rPr>
          <w:rFonts w:cs="Arial"/>
          <w:szCs w:val="24"/>
          <w:lang w:val="en-US"/>
        </w:rPr>
      </w:pPr>
      <w:r>
        <w:rPr>
          <w:rFonts w:cs="Arial"/>
          <w:szCs w:val="24"/>
          <w:lang w:val="en-US"/>
        </w:rPr>
        <w:t>See more papers on sentence comprehension</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9" w:name="_Toc137890498"/>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9"/>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0" w:name="_Toc137890499"/>
      <w:r>
        <w:rPr>
          <w:lang w:val="en-US"/>
        </w:rPr>
        <w:t>3.1 Study design</w:t>
      </w:r>
      <w:bookmarkEnd w:id="10"/>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t xml:space="preserve">Prior, acceptable and fully unacceptable, and neither acceptable nor unacceptable examples were given on the welcoming page to the study. </w:t>
      </w:r>
      <w:commentRangeStart w:id="11"/>
      <w:r w:rsidRPr="006F719B">
        <w:rPr>
          <w:lang w:val="en-US"/>
        </w:rPr>
        <w:t xml:space="preserve">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w:t>
      </w:r>
      <w:r w:rsidRPr="006F719B">
        <w:rPr>
          <w:lang w:val="en-US"/>
        </w:rPr>
        <w:lastRenderedPageBreak/>
        <w:t>and via the Wilcoxon signed-rank test (the non-parametric equivalent of the dependent t test) in R</w:t>
      </w:r>
      <w:commentRangeEnd w:id="11"/>
      <w:r>
        <w:rPr>
          <w:rStyle w:val="Kommentarzeichen"/>
        </w:rPr>
        <w:commentReference w:id="11"/>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5CC64AC6" w14:textId="7CDB97EF" w:rsidR="00D230ED" w:rsidRDefault="00D230ED" w:rsidP="000A532D">
      <w:pPr>
        <w:suppressLineNumbers/>
        <w:spacing w:after="0" w:line="360" w:lineRule="auto"/>
        <w:jc w:val="both"/>
        <w:rPr>
          <w:rFonts w:cs="Arial"/>
          <w:szCs w:val="24"/>
          <w:lang w:val="en-US"/>
        </w:rPr>
      </w:pPr>
      <w:r>
        <w:rPr>
          <w:rFonts w:cs="Arial"/>
          <w:szCs w:val="24"/>
          <w:lang w:val="en-US"/>
        </w:rPr>
        <w:t xml:space="preserve">Stimuli </w:t>
      </w:r>
    </w:p>
    <w:p w14:paraId="083BF6BF" w14:textId="600E3A46"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Contrastive focus never in sentence final position because that is the default focus position (Harris &amp; Carlson 2018)</w:t>
      </w:r>
    </w:p>
    <w:p w14:paraId="20A951FE" w14:textId="069FEFE9"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Therefore, all stimuli are in past tense, ensuring that the verb is in final position</w:t>
      </w:r>
    </w:p>
    <w:p w14:paraId="26C8CD90" w14:textId="0FED77F1" w:rsidR="00D230ED" w:rsidRDefault="008D1EE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w:t>
      </w:r>
    </w:p>
    <w:p w14:paraId="0758F389" w14:textId="3108BF70" w:rsidR="00CD7752" w:rsidRPr="00D230ED"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2" w:name="_Toc137890500"/>
      <w:r>
        <w:rPr>
          <w:lang w:val="en-US"/>
        </w:rPr>
        <w:t>3.2 Participants</w:t>
      </w:r>
      <w:bookmarkEnd w:id="12"/>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3" w:name="_Toc137890501"/>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3"/>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4" w:name="_Toc137890502"/>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4"/>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5" w:name="_Toc137890503"/>
      <w:r w:rsidRPr="007D080B">
        <w:rPr>
          <w:rFonts w:cs="Arial"/>
          <w:szCs w:val="24"/>
          <w:lang w:val="en-US"/>
        </w:rPr>
        <w:t>6</w:t>
      </w:r>
      <w:r w:rsidR="00BA120B" w:rsidRPr="007D080B">
        <w:rPr>
          <w:rFonts w:cs="Arial"/>
          <w:szCs w:val="24"/>
          <w:lang w:val="en-US"/>
        </w:rPr>
        <w:t>. Conclusions</w:t>
      </w:r>
      <w:bookmarkEnd w:id="15"/>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6" w:name="_Toc137890504"/>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6"/>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7" w:name="_Toc137890505"/>
      <w:r w:rsidRPr="007D080B">
        <w:rPr>
          <w:rFonts w:cs="Arial"/>
          <w:szCs w:val="24"/>
          <w:lang w:val="en-US"/>
        </w:rPr>
        <w:lastRenderedPageBreak/>
        <w:t>8. Appendix</w:t>
      </w:r>
      <w:bookmarkEnd w:id="17"/>
    </w:p>
    <w:p w14:paraId="01F8F347" w14:textId="2FE58D83" w:rsidR="00B53A17" w:rsidRPr="007D080B" w:rsidRDefault="00B53A17" w:rsidP="00B53A17">
      <w:pPr>
        <w:pStyle w:val="berschrift2"/>
        <w:rPr>
          <w:rFonts w:cs="Arial"/>
          <w:lang w:val="en-US"/>
        </w:rPr>
      </w:pPr>
      <w:bookmarkStart w:id="18" w:name="_Toc137890506"/>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8"/>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9" w:name="_Toc137890507"/>
      <w:r w:rsidRPr="007D080B">
        <w:rPr>
          <w:rFonts w:cs="Arial"/>
          <w:lang w:val="en-US"/>
        </w:rPr>
        <w:lastRenderedPageBreak/>
        <w:t>8.2 List of stimuli</w:t>
      </w:r>
      <w:bookmarkEnd w:id="19"/>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8"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14T11:25:00Z" w:initials="MS">
    <w:p w14:paraId="45BBA7FB" w14:textId="0E529F02"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1858048D"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1858048D" w16cid:durableId="283AA09C"/>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C4DF" w14:textId="77777777" w:rsidR="00F55167" w:rsidRDefault="00F55167" w:rsidP="00D0261B">
      <w:pPr>
        <w:spacing w:after="0" w:line="240" w:lineRule="auto"/>
      </w:pPr>
      <w:r>
        <w:separator/>
      </w:r>
    </w:p>
  </w:endnote>
  <w:endnote w:type="continuationSeparator" w:id="0">
    <w:p w14:paraId="0DB9FDF1" w14:textId="77777777" w:rsidR="00F55167" w:rsidRDefault="00F55167"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142A" w14:textId="77777777" w:rsidR="00F55167" w:rsidRDefault="00F55167" w:rsidP="00D0261B">
      <w:pPr>
        <w:spacing w:after="0" w:line="240" w:lineRule="auto"/>
      </w:pPr>
      <w:r>
        <w:separator/>
      </w:r>
    </w:p>
  </w:footnote>
  <w:footnote w:type="continuationSeparator" w:id="0">
    <w:p w14:paraId="3AAAFC2A" w14:textId="77777777" w:rsidR="00F55167" w:rsidRDefault="00F55167"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3"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22"/>
  </w:num>
  <w:num w:numId="5" w16cid:durableId="1977565791">
    <w:abstractNumId w:val="24"/>
  </w:num>
  <w:num w:numId="6" w16cid:durableId="51737859">
    <w:abstractNumId w:val="25"/>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8"/>
  </w:num>
  <w:num w:numId="18" w16cid:durableId="1439713338">
    <w:abstractNumId w:val="19"/>
  </w:num>
  <w:num w:numId="19" w16cid:durableId="180320406">
    <w:abstractNumId w:val="10"/>
  </w:num>
  <w:num w:numId="20" w16cid:durableId="2069450739">
    <w:abstractNumId w:val="17"/>
  </w:num>
  <w:num w:numId="21" w16cid:durableId="116684880">
    <w:abstractNumId w:val="26"/>
  </w:num>
  <w:num w:numId="22" w16cid:durableId="45495444">
    <w:abstractNumId w:val="14"/>
  </w:num>
  <w:num w:numId="23" w16cid:durableId="391932631">
    <w:abstractNumId w:val="15"/>
  </w:num>
  <w:num w:numId="24" w16cid:durableId="76707138">
    <w:abstractNumId w:val="21"/>
  </w:num>
  <w:num w:numId="25" w16cid:durableId="2108957919">
    <w:abstractNumId w:val="20"/>
  </w:num>
  <w:num w:numId="26" w16cid:durableId="367871763">
    <w:abstractNumId w:val="23"/>
  </w:num>
  <w:num w:numId="27" w16cid:durableId="844444956">
    <w:abstractNumId w:val="1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A23C5"/>
    <w:rsid w:val="005A3E32"/>
    <w:rsid w:val="005A515C"/>
    <w:rsid w:val="005A7CD1"/>
    <w:rsid w:val="005B2686"/>
    <w:rsid w:val="005B31DB"/>
    <w:rsid w:val="005B427A"/>
    <w:rsid w:val="005B4A73"/>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36E9"/>
    <w:rsid w:val="007953EB"/>
    <w:rsid w:val="00797E46"/>
    <w:rsid w:val="007A07E8"/>
    <w:rsid w:val="007A441E"/>
    <w:rsid w:val="007A5BAB"/>
    <w:rsid w:val="007B68A1"/>
    <w:rsid w:val="007C0973"/>
    <w:rsid w:val="007C0DCB"/>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14334"/>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2133</Words>
  <Characters>12159</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90</cp:revision>
  <cp:lastPrinted>2023-06-07T07:22:00Z</cp:lastPrinted>
  <dcterms:created xsi:type="dcterms:W3CDTF">2023-03-22T08:18:00Z</dcterms:created>
  <dcterms:modified xsi:type="dcterms:W3CDTF">2023-06-19T07:45:00Z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