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63E53" w:rsidRDefault="00257634" w:rsidP="006C170E">
      <w:pPr>
        <w:suppressLineNumbers/>
        <w:spacing w:after="0" w:line="360" w:lineRule="auto"/>
        <w:jc w:val="center"/>
        <w:rPr>
          <w:rFonts w:cs="Arial"/>
          <w:szCs w:val="24"/>
        </w:rPr>
      </w:pPr>
      <w:r w:rsidRPr="00363E53">
        <w:rPr>
          <w:rFonts w:cs="Arial"/>
          <w:szCs w:val="24"/>
        </w:rPr>
        <w:t>Miriam Schiele</w:t>
      </w:r>
    </w:p>
    <w:p w14:paraId="75E54B00" w14:textId="77777777" w:rsidR="00B225D6" w:rsidRPr="00363E53" w:rsidRDefault="00B225D6" w:rsidP="006C170E">
      <w:pPr>
        <w:suppressLineNumbers/>
        <w:spacing w:after="0" w:line="360" w:lineRule="auto"/>
        <w:jc w:val="center"/>
        <w:rPr>
          <w:rFonts w:cs="Arial"/>
          <w:szCs w:val="24"/>
        </w:rPr>
      </w:pPr>
      <w:r w:rsidRPr="00363E5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8D45CF" w:rsidRPr="00F76C62">
        <w:rPr>
          <w:rFonts w:cs="Arial"/>
          <w:b/>
          <w:bCs/>
          <w:color w:val="FF0000"/>
          <w:szCs w:val="24"/>
          <w:lang w:val="en-US"/>
        </w:rPr>
        <w:t>23</w:t>
      </w:r>
      <w:r w:rsidR="008D45CF" w:rsidRPr="00F76C62">
        <w:rPr>
          <w:rFonts w:cs="Arial"/>
          <w:b/>
          <w:bCs/>
          <w:color w:val="FF0000"/>
          <w:szCs w:val="24"/>
          <w:vertAlign w:val="superscript"/>
          <w:lang w:val="en-US"/>
        </w:rPr>
        <w:t>rd</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3B25BD5" w14:textId="16724972" w:rsidR="008C31AA"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8C31AA" w:rsidRPr="0055738B">
        <w:rPr>
          <w:rFonts w:cs="Arial"/>
          <w:noProof/>
          <w:lang w:val="en-US"/>
        </w:rPr>
        <w:t>1. Introduction</w:t>
      </w:r>
      <w:r w:rsidR="008C31AA" w:rsidRPr="008C31AA">
        <w:rPr>
          <w:noProof/>
          <w:lang w:val="en-US"/>
        </w:rPr>
        <w:tab/>
      </w:r>
      <w:r w:rsidR="008C31AA">
        <w:rPr>
          <w:noProof/>
        </w:rPr>
        <w:fldChar w:fldCharType="begin"/>
      </w:r>
      <w:r w:rsidR="008C31AA" w:rsidRPr="008C31AA">
        <w:rPr>
          <w:noProof/>
          <w:lang w:val="en-US"/>
        </w:rPr>
        <w:instrText xml:space="preserve"> PAGEREF _Toc143673224 \h </w:instrText>
      </w:r>
      <w:r w:rsidR="008C31AA">
        <w:rPr>
          <w:noProof/>
        </w:rPr>
      </w:r>
      <w:r w:rsidR="008C31AA">
        <w:rPr>
          <w:noProof/>
        </w:rPr>
        <w:fldChar w:fldCharType="separate"/>
      </w:r>
      <w:r w:rsidR="009805E6">
        <w:rPr>
          <w:noProof/>
          <w:lang w:val="en-US"/>
        </w:rPr>
        <w:t>5</w:t>
      </w:r>
      <w:r w:rsidR="008C31AA">
        <w:rPr>
          <w:noProof/>
        </w:rPr>
        <w:fldChar w:fldCharType="end"/>
      </w:r>
    </w:p>
    <w:p w14:paraId="5C79BAAA" w14:textId="57ACF15C"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1.1 Background and motivation</w:t>
      </w:r>
      <w:r w:rsidRPr="008C31AA">
        <w:rPr>
          <w:noProof/>
          <w:lang w:val="en-US"/>
        </w:rPr>
        <w:tab/>
      </w:r>
      <w:r>
        <w:rPr>
          <w:noProof/>
        </w:rPr>
        <w:fldChar w:fldCharType="begin"/>
      </w:r>
      <w:r w:rsidRPr="008C31AA">
        <w:rPr>
          <w:noProof/>
          <w:lang w:val="en-US"/>
        </w:rPr>
        <w:instrText xml:space="preserve"> PAGEREF _Toc143673225 \h </w:instrText>
      </w:r>
      <w:r>
        <w:rPr>
          <w:noProof/>
        </w:rPr>
      </w:r>
      <w:r>
        <w:rPr>
          <w:noProof/>
        </w:rPr>
        <w:fldChar w:fldCharType="separate"/>
      </w:r>
      <w:r w:rsidR="009805E6">
        <w:rPr>
          <w:noProof/>
          <w:lang w:val="en-US"/>
        </w:rPr>
        <w:t>5</w:t>
      </w:r>
      <w:r>
        <w:rPr>
          <w:noProof/>
        </w:rPr>
        <w:fldChar w:fldCharType="end"/>
      </w:r>
    </w:p>
    <w:p w14:paraId="44FB061E" w14:textId="3ED6E78B"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1.2 Research questions and objectives</w:t>
      </w:r>
      <w:r w:rsidRPr="008C31AA">
        <w:rPr>
          <w:noProof/>
          <w:lang w:val="en-US"/>
        </w:rPr>
        <w:tab/>
      </w:r>
      <w:r>
        <w:rPr>
          <w:noProof/>
        </w:rPr>
        <w:fldChar w:fldCharType="begin"/>
      </w:r>
      <w:r w:rsidRPr="008C31AA">
        <w:rPr>
          <w:noProof/>
          <w:lang w:val="en-US"/>
        </w:rPr>
        <w:instrText xml:space="preserve"> PAGEREF _Toc143673226 \h </w:instrText>
      </w:r>
      <w:r>
        <w:rPr>
          <w:noProof/>
        </w:rPr>
      </w:r>
      <w:r>
        <w:rPr>
          <w:noProof/>
        </w:rPr>
        <w:fldChar w:fldCharType="separate"/>
      </w:r>
      <w:r w:rsidR="009805E6">
        <w:rPr>
          <w:noProof/>
          <w:lang w:val="en-US"/>
        </w:rPr>
        <w:t>6</w:t>
      </w:r>
      <w:r>
        <w:rPr>
          <w:noProof/>
        </w:rPr>
        <w:fldChar w:fldCharType="end"/>
      </w:r>
    </w:p>
    <w:p w14:paraId="6D267820" w14:textId="4CAFDE17"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1.3 Significance of the study</w:t>
      </w:r>
      <w:r w:rsidRPr="008C31AA">
        <w:rPr>
          <w:noProof/>
          <w:lang w:val="en-US"/>
        </w:rPr>
        <w:tab/>
      </w:r>
      <w:r>
        <w:rPr>
          <w:noProof/>
        </w:rPr>
        <w:fldChar w:fldCharType="begin"/>
      </w:r>
      <w:r w:rsidRPr="008C31AA">
        <w:rPr>
          <w:noProof/>
          <w:lang w:val="en-US"/>
        </w:rPr>
        <w:instrText xml:space="preserve"> PAGEREF _Toc143673227 \h </w:instrText>
      </w:r>
      <w:r>
        <w:rPr>
          <w:noProof/>
        </w:rPr>
      </w:r>
      <w:r>
        <w:rPr>
          <w:noProof/>
        </w:rPr>
        <w:fldChar w:fldCharType="separate"/>
      </w:r>
      <w:r w:rsidR="009805E6">
        <w:rPr>
          <w:noProof/>
          <w:lang w:val="en-US"/>
        </w:rPr>
        <w:t>8</w:t>
      </w:r>
      <w:r>
        <w:rPr>
          <w:noProof/>
        </w:rPr>
        <w:fldChar w:fldCharType="end"/>
      </w:r>
    </w:p>
    <w:p w14:paraId="77DB4B8C" w14:textId="08CD8AA7"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1.4 Scope and limitations</w:t>
      </w:r>
      <w:r w:rsidRPr="008C31AA">
        <w:rPr>
          <w:noProof/>
          <w:lang w:val="en-US"/>
        </w:rPr>
        <w:tab/>
      </w:r>
      <w:r>
        <w:rPr>
          <w:noProof/>
        </w:rPr>
        <w:fldChar w:fldCharType="begin"/>
      </w:r>
      <w:r w:rsidRPr="008C31AA">
        <w:rPr>
          <w:noProof/>
          <w:lang w:val="en-US"/>
        </w:rPr>
        <w:instrText xml:space="preserve"> PAGEREF _Toc143673228 \h </w:instrText>
      </w:r>
      <w:r>
        <w:rPr>
          <w:noProof/>
        </w:rPr>
      </w:r>
      <w:r>
        <w:rPr>
          <w:noProof/>
        </w:rPr>
        <w:fldChar w:fldCharType="separate"/>
      </w:r>
      <w:r w:rsidR="009805E6">
        <w:rPr>
          <w:noProof/>
          <w:lang w:val="en-US"/>
        </w:rPr>
        <w:t>9</w:t>
      </w:r>
      <w:r>
        <w:rPr>
          <w:noProof/>
        </w:rPr>
        <w:fldChar w:fldCharType="end"/>
      </w:r>
    </w:p>
    <w:p w14:paraId="32EE37AA" w14:textId="2F614C38"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2. Literary review</w:t>
      </w:r>
      <w:r w:rsidRPr="008C31AA">
        <w:rPr>
          <w:noProof/>
          <w:lang w:val="en-US"/>
        </w:rPr>
        <w:tab/>
      </w:r>
      <w:r>
        <w:rPr>
          <w:noProof/>
        </w:rPr>
        <w:fldChar w:fldCharType="begin"/>
      </w:r>
      <w:r w:rsidRPr="008C31AA">
        <w:rPr>
          <w:noProof/>
          <w:lang w:val="en-US"/>
        </w:rPr>
        <w:instrText xml:space="preserve"> PAGEREF _Toc143673229 \h </w:instrText>
      </w:r>
      <w:r>
        <w:rPr>
          <w:noProof/>
        </w:rPr>
      </w:r>
      <w:r>
        <w:rPr>
          <w:noProof/>
        </w:rPr>
        <w:fldChar w:fldCharType="separate"/>
      </w:r>
      <w:r w:rsidR="009805E6">
        <w:rPr>
          <w:noProof/>
          <w:lang w:val="en-US"/>
        </w:rPr>
        <w:t>10</w:t>
      </w:r>
      <w:r>
        <w:rPr>
          <w:noProof/>
        </w:rPr>
        <w:fldChar w:fldCharType="end"/>
      </w:r>
    </w:p>
    <w:p w14:paraId="77DA4DB2" w14:textId="5301EB75"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2.1 Fragment theory and its linguistic foundations</w:t>
      </w:r>
      <w:r w:rsidRPr="008C31AA">
        <w:rPr>
          <w:noProof/>
          <w:lang w:val="en-US"/>
        </w:rPr>
        <w:tab/>
      </w:r>
      <w:r>
        <w:rPr>
          <w:noProof/>
        </w:rPr>
        <w:fldChar w:fldCharType="begin"/>
      </w:r>
      <w:r w:rsidRPr="008C31AA">
        <w:rPr>
          <w:noProof/>
          <w:lang w:val="en-US"/>
        </w:rPr>
        <w:instrText xml:space="preserve"> PAGEREF _Toc143673230 \h </w:instrText>
      </w:r>
      <w:r>
        <w:rPr>
          <w:noProof/>
        </w:rPr>
      </w:r>
      <w:r>
        <w:rPr>
          <w:noProof/>
        </w:rPr>
        <w:fldChar w:fldCharType="separate"/>
      </w:r>
      <w:r w:rsidR="009805E6">
        <w:rPr>
          <w:noProof/>
          <w:lang w:val="en-US"/>
        </w:rPr>
        <w:t>10</w:t>
      </w:r>
      <w:r>
        <w:rPr>
          <w:noProof/>
        </w:rPr>
        <w:fldChar w:fldCharType="end"/>
      </w:r>
    </w:p>
    <w:p w14:paraId="0CE396CF" w14:textId="62BEA981"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2.2 Contrastive focus</w:t>
      </w:r>
      <w:r w:rsidRPr="008C31AA">
        <w:rPr>
          <w:noProof/>
          <w:lang w:val="en-US"/>
        </w:rPr>
        <w:tab/>
      </w:r>
      <w:r>
        <w:rPr>
          <w:noProof/>
        </w:rPr>
        <w:fldChar w:fldCharType="begin"/>
      </w:r>
      <w:r w:rsidRPr="008C31AA">
        <w:rPr>
          <w:noProof/>
          <w:lang w:val="en-US"/>
        </w:rPr>
        <w:instrText xml:space="preserve"> PAGEREF _Toc143673231 \h </w:instrText>
      </w:r>
      <w:r>
        <w:rPr>
          <w:noProof/>
        </w:rPr>
      </w:r>
      <w:r>
        <w:rPr>
          <w:noProof/>
        </w:rPr>
        <w:fldChar w:fldCharType="separate"/>
      </w:r>
      <w:r w:rsidR="009805E6">
        <w:rPr>
          <w:noProof/>
          <w:lang w:val="en-US"/>
        </w:rPr>
        <w:t>11</w:t>
      </w:r>
      <w:r>
        <w:rPr>
          <w:noProof/>
        </w:rPr>
        <w:fldChar w:fldCharType="end"/>
      </w:r>
    </w:p>
    <w:p w14:paraId="121D4178" w14:textId="1E35714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2.3 The comprehension of fragmentary answers</w:t>
      </w:r>
      <w:r w:rsidRPr="008C31AA">
        <w:rPr>
          <w:noProof/>
          <w:lang w:val="en-US"/>
        </w:rPr>
        <w:tab/>
      </w:r>
      <w:r>
        <w:rPr>
          <w:noProof/>
        </w:rPr>
        <w:fldChar w:fldCharType="begin"/>
      </w:r>
      <w:r w:rsidRPr="008C31AA">
        <w:rPr>
          <w:noProof/>
          <w:lang w:val="en-US"/>
        </w:rPr>
        <w:instrText xml:space="preserve"> PAGEREF _Toc143673232 \h </w:instrText>
      </w:r>
      <w:r>
        <w:rPr>
          <w:noProof/>
        </w:rPr>
      </w:r>
      <w:r>
        <w:rPr>
          <w:noProof/>
        </w:rPr>
        <w:fldChar w:fldCharType="separate"/>
      </w:r>
      <w:r w:rsidR="009805E6">
        <w:rPr>
          <w:noProof/>
          <w:lang w:val="en-US"/>
        </w:rPr>
        <w:t>13</w:t>
      </w:r>
      <w:r>
        <w:rPr>
          <w:noProof/>
        </w:rPr>
        <w:fldChar w:fldCharType="end"/>
      </w:r>
    </w:p>
    <w:p w14:paraId="076549E6" w14:textId="78179F54"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2.4 Acceptability judgment tasks in linguistics</w:t>
      </w:r>
      <w:r w:rsidRPr="008C31AA">
        <w:rPr>
          <w:noProof/>
          <w:lang w:val="en-US"/>
        </w:rPr>
        <w:tab/>
      </w:r>
      <w:r>
        <w:rPr>
          <w:noProof/>
        </w:rPr>
        <w:fldChar w:fldCharType="begin"/>
      </w:r>
      <w:r w:rsidRPr="008C31AA">
        <w:rPr>
          <w:noProof/>
          <w:lang w:val="en-US"/>
        </w:rPr>
        <w:instrText xml:space="preserve"> PAGEREF _Toc143673233 \h </w:instrText>
      </w:r>
      <w:r>
        <w:rPr>
          <w:noProof/>
        </w:rPr>
      </w:r>
      <w:r>
        <w:rPr>
          <w:noProof/>
        </w:rPr>
        <w:fldChar w:fldCharType="separate"/>
      </w:r>
      <w:r w:rsidR="009805E6">
        <w:rPr>
          <w:noProof/>
          <w:lang w:val="en-US"/>
        </w:rPr>
        <w:t>18</w:t>
      </w:r>
      <w:r>
        <w:rPr>
          <w:noProof/>
        </w:rPr>
        <w:fldChar w:fldCharType="end"/>
      </w:r>
    </w:p>
    <w:p w14:paraId="53D0C3F6" w14:textId="1C1F8B17" w:rsidR="008C31AA" w:rsidRDefault="008C31AA">
      <w:pPr>
        <w:pStyle w:val="Verzeichnis1"/>
        <w:rPr>
          <w:rFonts w:asciiTheme="minorHAnsi" w:eastAsiaTheme="minorEastAsia" w:hAnsiTheme="minorHAnsi"/>
          <w:noProof/>
          <w:kern w:val="2"/>
          <w:sz w:val="22"/>
          <w:lang w:val="en-US"/>
          <w14:ligatures w14:val="standardContextual"/>
        </w:rPr>
      </w:pPr>
      <w:r w:rsidRPr="0055738B">
        <w:rPr>
          <w:noProof/>
          <w:lang w:val="en-US"/>
        </w:rPr>
        <w:t>3. Data and method</w:t>
      </w:r>
      <w:r w:rsidRPr="008C31AA">
        <w:rPr>
          <w:noProof/>
          <w:lang w:val="en-US"/>
        </w:rPr>
        <w:tab/>
      </w:r>
      <w:r>
        <w:rPr>
          <w:noProof/>
        </w:rPr>
        <w:fldChar w:fldCharType="begin"/>
      </w:r>
      <w:r w:rsidRPr="008C31AA">
        <w:rPr>
          <w:noProof/>
          <w:lang w:val="en-US"/>
        </w:rPr>
        <w:instrText xml:space="preserve"> PAGEREF _Toc143673234 \h </w:instrText>
      </w:r>
      <w:r>
        <w:rPr>
          <w:noProof/>
        </w:rPr>
      </w:r>
      <w:r>
        <w:rPr>
          <w:noProof/>
        </w:rPr>
        <w:fldChar w:fldCharType="separate"/>
      </w:r>
      <w:r w:rsidR="009805E6">
        <w:rPr>
          <w:noProof/>
          <w:lang w:val="en-US"/>
        </w:rPr>
        <w:t>20</w:t>
      </w:r>
      <w:r>
        <w:rPr>
          <w:noProof/>
        </w:rPr>
        <w:fldChar w:fldCharType="end"/>
      </w:r>
    </w:p>
    <w:p w14:paraId="0AFA922E" w14:textId="6A4CE124"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3.1 Study design</w:t>
      </w:r>
      <w:r w:rsidRPr="008C31AA">
        <w:rPr>
          <w:noProof/>
          <w:lang w:val="en-US"/>
        </w:rPr>
        <w:tab/>
      </w:r>
      <w:r>
        <w:rPr>
          <w:noProof/>
        </w:rPr>
        <w:fldChar w:fldCharType="begin"/>
      </w:r>
      <w:r w:rsidRPr="008C31AA">
        <w:rPr>
          <w:noProof/>
          <w:lang w:val="en-US"/>
        </w:rPr>
        <w:instrText xml:space="preserve"> PAGEREF _Toc143673235 \h </w:instrText>
      </w:r>
      <w:r>
        <w:rPr>
          <w:noProof/>
        </w:rPr>
      </w:r>
      <w:r>
        <w:rPr>
          <w:noProof/>
        </w:rPr>
        <w:fldChar w:fldCharType="separate"/>
      </w:r>
      <w:r w:rsidR="009805E6">
        <w:rPr>
          <w:noProof/>
          <w:lang w:val="en-US"/>
        </w:rPr>
        <w:t>20</w:t>
      </w:r>
      <w:r>
        <w:rPr>
          <w:noProof/>
        </w:rPr>
        <w:fldChar w:fldCharType="end"/>
      </w:r>
    </w:p>
    <w:p w14:paraId="49C6B212" w14:textId="41F3702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3.2 Selection of critical and filler items</w:t>
      </w:r>
      <w:r w:rsidRPr="008C31AA">
        <w:rPr>
          <w:noProof/>
          <w:lang w:val="en-US"/>
        </w:rPr>
        <w:tab/>
      </w:r>
      <w:r>
        <w:rPr>
          <w:noProof/>
        </w:rPr>
        <w:fldChar w:fldCharType="begin"/>
      </w:r>
      <w:r w:rsidRPr="008C31AA">
        <w:rPr>
          <w:noProof/>
          <w:lang w:val="en-US"/>
        </w:rPr>
        <w:instrText xml:space="preserve"> PAGEREF _Toc143673236 \h </w:instrText>
      </w:r>
      <w:r>
        <w:rPr>
          <w:noProof/>
        </w:rPr>
      </w:r>
      <w:r>
        <w:rPr>
          <w:noProof/>
        </w:rPr>
        <w:fldChar w:fldCharType="separate"/>
      </w:r>
      <w:r w:rsidR="009805E6">
        <w:rPr>
          <w:noProof/>
          <w:lang w:val="en-US"/>
        </w:rPr>
        <w:t>23</w:t>
      </w:r>
      <w:r>
        <w:rPr>
          <w:noProof/>
        </w:rPr>
        <w:fldChar w:fldCharType="end"/>
      </w:r>
    </w:p>
    <w:p w14:paraId="66AA41B1" w14:textId="5B1968F5"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3.3 Recording of stimuli</w:t>
      </w:r>
      <w:r w:rsidRPr="008C31AA">
        <w:rPr>
          <w:noProof/>
          <w:lang w:val="en-US"/>
        </w:rPr>
        <w:tab/>
      </w:r>
      <w:r>
        <w:rPr>
          <w:noProof/>
        </w:rPr>
        <w:fldChar w:fldCharType="begin"/>
      </w:r>
      <w:r w:rsidRPr="008C31AA">
        <w:rPr>
          <w:noProof/>
          <w:lang w:val="en-US"/>
        </w:rPr>
        <w:instrText xml:space="preserve"> PAGEREF _Toc143673237 \h </w:instrText>
      </w:r>
      <w:r>
        <w:rPr>
          <w:noProof/>
        </w:rPr>
      </w:r>
      <w:r>
        <w:rPr>
          <w:noProof/>
        </w:rPr>
        <w:fldChar w:fldCharType="separate"/>
      </w:r>
      <w:r w:rsidR="009805E6">
        <w:rPr>
          <w:noProof/>
          <w:lang w:val="en-US"/>
        </w:rPr>
        <w:t>26</w:t>
      </w:r>
      <w:r>
        <w:rPr>
          <w:noProof/>
        </w:rPr>
        <w:fldChar w:fldCharType="end"/>
      </w:r>
    </w:p>
    <w:p w14:paraId="2CA70562" w14:textId="3C373AE1"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3.4 Data collection</w:t>
      </w:r>
      <w:r w:rsidRPr="008C31AA">
        <w:rPr>
          <w:noProof/>
          <w:lang w:val="en-US"/>
        </w:rPr>
        <w:tab/>
      </w:r>
      <w:r>
        <w:rPr>
          <w:noProof/>
        </w:rPr>
        <w:fldChar w:fldCharType="begin"/>
      </w:r>
      <w:r w:rsidRPr="008C31AA">
        <w:rPr>
          <w:noProof/>
          <w:lang w:val="en-US"/>
        </w:rPr>
        <w:instrText xml:space="preserve"> PAGEREF _Toc143673238 \h </w:instrText>
      </w:r>
      <w:r>
        <w:rPr>
          <w:noProof/>
        </w:rPr>
      </w:r>
      <w:r>
        <w:rPr>
          <w:noProof/>
        </w:rPr>
        <w:fldChar w:fldCharType="separate"/>
      </w:r>
      <w:r w:rsidR="009805E6">
        <w:rPr>
          <w:noProof/>
          <w:lang w:val="en-US"/>
        </w:rPr>
        <w:t>29</w:t>
      </w:r>
      <w:r>
        <w:rPr>
          <w:noProof/>
        </w:rPr>
        <w:fldChar w:fldCharType="end"/>
      </w:r>
    </w:p>
    <w:p w14:paraId="1E865187" w14:textId="34415EC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3.5 Participant recruitment and characteristics</w:t>
      </w:r>
      <w:r w:rsidRPr="008C31AA">
        <w:rPr>
          <w:noProof/>
          <w:lang w:val="en-US"/>
        </w:rPr>
        <w:tab/>
      </w:r>
      <w:r>
        <w:rPr>
          <w:noProof/>
        </w:rPr>
        <w:fldChar w:fldCharType="begin"/>
      </w:r>
      <w:r w:rsidRPr="008C31AA">
        <w:rPr>
          <w:noProof/>
          <w:lang w:val="en-US"/>
        </w:rPr>
        <w:instrText xml:space="preserve"> PAGEREF _Toc143673239 \h </w:instrText>
      </w:r>
      <w:r>
        <w:rPr>
          <w:noProof/>
        </w:rPr>
      </w:r>
      <w:r>
        <w:rPr>
          <w:noProof/>
        </w:rPr>
        <w:fldChar w:fldCharType="separate"/>
      </w:r>
      <w:r w:rsidR="009805E6">
        <w:rPr>
          <w:noProof/>
          <w:lang w:val="en-US"/>
        </w:rPr>
        <w:t>30</w:t>
      </w:r>
      <w:r>
        <w:rPr>
          <w:noProof/>
        </w:rPr>
        <w:fldChar w:fldCharType="end"/>
      </w:r>
    </w:p>
    <w:p w14:paraId="21F2621D" w14:textId="49384E3A"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4. Results and analysis</w:t>
      </w:r>
      <w:r w:rsidRPr="008C31AA">
        <w:rPr>
          <w:noProof/>
          <w:lang w:val="en-US"/>
        </w:rPr>
        <w:tab/>
      </w:r>
      <w:r>
        <w:rPr>
          <w:noProof/>
        </w:rPr>
        <w:fldChar w:fldCharType="begin"/>
      </w:r>
      <w:r w:rsidRPr="008C31AA">
        <w:rPr>
          <w:noProof/>
          <w:lang w:val="en-US"/>
        </w:rPr>
        <w:instrText xml:space="preserve"> PAGEREF _Toc143673240 \h </w:instrText>
      </w:r>
      <w:r>
        <w:rPr>
          <w:noProof/>
        </w:rPr>
      </w:r>
      <w:r>
        <w:rPr>
          <w:noProof/>
        </w:rPr>
        <w:fldChar w:fldCharType="separate"/>
      </w:r>
      <w:r w:rsidR="009805E6">
        <w:rPr>
          <w:noProof/>
          <w:lang w:val="en-US"/>
        </w:rPr>
        <w:t>31</w:t>
      </w:r>
      <w:r>
        <w:rPr>
          <w:noProof/>
        </w:rPr>
        <w:fldChar w:fldCharType="end"/>
      </w:r>
    </w:p>
    <w:p w14:paraId="6AAAC39B" w14:textId="66DC8A35"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4.1 Raw data presentation</w:t>
      </w:r>
      <w:r w:rsidRPr="008C31AA">
        <w:rPr>
          <w:noProof/>
          <w:lang w:val="en-US"/>
        </w:rPr>
        <w:tab/>
      </w:r>
      <w:r>
        <w:rPr>
          <w:noProof/>
        </w:rPr>
        <w:fldChar w:fldCharType="begin"/>
      </w:r>
      <w:r w:rsidRPr="008C31AA">
        <w:rPr>
          <w:noProof/>
          <w:lang w:val="en-US"/>
        </w:rPr>
        <w:instrText xml:space="preserve"> PAGEREF _Toc143673241 \h </w:instrText>
      </w:r>
      <w:r>
        <w:rPr>
          <w:noProof/>
        </w:rPr>
      </w:r>
      <w:r>
        <w:rPr>
          <w:noProof/>
        </w:rPr>
        <w:fldChar w:fldCharType="separate"/>
      </w:r>
      <w:r w:rsidR="009805E6">
        <w:rPr>
          <w:noProof/>
          <w:lang w:val="en-US"/>
        </w:rPr>
        <w:t>31</w:t>
      </w:r>
      <w:r>
        <w:rPr>
          <w:noProof/>
        </w:rPr>
        <w:fldChar w:fldCharType="end"/>
      </w:r>
    </w:p>
    <w:p w14:paraId="341EFFAE" w14:textId="183F848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4.2 Analysis methods</w:t>
      </w:r>
      <w:r w:rsidRPr="008C31AA">
        <w:rPr>
          <w:noProof/>
          <w:lang w:val="en-US"/>
        </w:rPr>
        <w:tab/>
      </w:r>
      <w:r>
        <w:rPr>
          <w:noProof/>
        </w:rPr>
        <w:fldChar w:fldCharType="begin"/>
      </w:r>
      <w:r w:rsidRPr="008C31AA">
        <w:rPr>
          <w:noProof/>
          <w:lang w:val="en-US"/>
        </w:rPr>
        <w:instrText xml:space="preserve"> PAGEREF _Toc143673242 \h </w:instrText>
      </w:r>
      <w:r>
        <w:rPr>
          <w:noProof/>
        </w:rPr>
      </w:r>
      <w:r>
        <w:rPr>
          <w:noProof/>
        </w:rPr>
        <w:fldChar w:fldCharType="separate"/>
      </w:r>
      <w:r w:rsidR="009805E6">
        <w:rPr>
          <w:noProof/>
          <w:lang w:val="en-US"/>
        </w:rPr>
        <w:t>34</w:t>
      </w:r>
      <w:r>
        <w:rPr>
          <w:noProof/>
        </w:rPr>
        <w:fldChar w:fldCharType="end"/>
      </w:r>
    </w:p>
    <w:p w14:paraId="24437F0B" w14:textId="597ADF9D"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eastAsia="Times New Roman"/>
          <w:noProof/>
          <w:lang w:val="en-US"/>
        </w:rPr>
        <w:t>4.3 Results and hypotheses examination</w:t>
      </w:r>
      <w:r w:rsidRPr="008C31AA">
        <w:rPr>
          <w:noProof/>
          <w:lang w:val="en-US"/>
        </w:rPr>
        <w:tab/>
      </w:r>
      <w:r>
        <w:rPr>
          <w:noProof/>
        </w:rPr>
        <w:fldChar w:fldCharType="begin"/>
      </w:r>
      <w:r w:rsidRPr="008C31AA">
        <w:rPr>
          <w:noProof/>
          <w:lang w:val="en-US"/>
        </w:rPr>
        <w:instrText xml:space="preserve"> PAGEREF _Toc143673243 \h </w:instrText>
      </w:r>
      <w:r>
        <w:rPr>
          <w:noProof/>
        </w:rPr>
      </w:r>
      <w:r>
        <w:rPr>
          <w:noProof/>
        </w:rPr>
        <w:fldChar w:fldCharType="separate"/>
      </w:r>
      <w:r w:rsidR="009805E6">
        <w:rPr>
          <w:noProof/>
          <w:lang w:val="en-US"/>
        </w:rPr>
        <w:t>35</w:t>
      </w:r>
      <w:r>
        <w:rPr>
          <w:noProof/>
        </w:rPr>
        <w:fldChar w:fldCharType="end"/>
      </w:r>
    </w:p>
    <w:p w14:paraId="4C6D91C0" w14:textId="36DE18C1"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5. Discussion</w:t>
      </w:r>
      <w:r w:rsidRPr="008C31AA">
        <w:rPr>
          <w:noProof/>
          <w:lang w:val="en-US"/>
        </w:rPr>
        <w:tab/>
      </w:r>
      <w:r>
        <w:rPr>
          <w:noProof/>
        </w:rPr>
        <w:fldChar w:fldCharType="begin"/>
      </w:r>
      <w:r w:rsidRPr="008C31AA">
        <w:rPr>
          <w:noProof/>
          <w:lang w:val="en-US"/>
        </w:rPr>
        <w:instrText xml:space="preserve"> PAGEREF _Toc143673244 \h </w:instrText>
      </w:r>
      <w:r>
        <w:rPr>
          <w:noProof/>
        </w:rPr>
      </w:r>
      <w:r>
        <w:rPr>
          <w:noProof/>
        </w:rPr>
        <w:fldChar w:fldCharType="separate"/>
      </w:r>
      <w:r w:rsidR="009805E6">
        <w:rPr>
          <w:noProof/>
          <w:lang w:val="en-US"/>
        </w:rPr>
        <w:t>39</w:t>
      </w:r>
      <w:r>
        <w:rPr>
          <w:noProof/>
        </w:rPr>
        <w:fldChar w:fldCharType="end"/>
      </w:r>
    </w:p>
    <w:p w14:paraId="227D5AE7" w14:textId="20365101"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5.1 Interpretation of the findings</w:t>
      </w:r>
      <w:r w:rsidRPr="008C31AA">
        <w:rPr>
          <w:noProof/>
          <w:lang w:val="en-US"/>
        </w:rPr>
        <w:tab/>
      </w:r>
      <w:r>
        <w:rPr>
          <w:noProof/>
        </w:rPr>
        <w:fldChar w:fldCharType="begin"/>
      </w:r>
      <w:r w:rsidRPr="008C31AA">
        <w:rPr>
          <w:noProof/>
          <w:lang w:val="en-US"/>
        </w:rPr>
        <w:instrText xml:space="preserve"> PAGEREF _Toc143673245 \h </w:instrText>
      </w:r>
      <w:r>
        <w:rPr>
          <w:noProof/>
        </w:rPr>
      </w:r>
      <w:r>
        <w:rPr>
          <w:noProof/>
        </w:rPr>
        <w:fldChar w:fldCharType="separate"/>
      </w:r>
      <w:r w:rsidR="009805E6">
        <w:rPr>
          <w:noProof/>
          <w:lang w:val="en-US"/>
        </w:rPr>
        <w:t>39</w:t>
      </w:r>
      <w:r>
        <w:rPr>
          <w:noProof/>
        </w:rPr>
        <w:fldChar w:fldCharType="end"/>
      </w:r>
    </w:p>
    <w:p w14:paraId="3E1515D4" w14:textId="2E9C93F2"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5.2 Comparison with previous studies and theoretical predictions</w:t>
      </w:r>
      <w:r w:rsidRPr="008C31AA">
        <w:rPr>
          <w:noProof/>
          <w:lang w:val="en-US"/>
        </w:rPr>
        <w:tab/>
      </w:r>
      <w:r>
        <w:rPr>
          <w:noProof/>
        </w:rPr>
        <w:fldChar w:fldCharType="begin"/>
      </w:r>
      <w:r w:rsidRPr="008C31AA">
        <w:rPr>
          <w:noProof/>
          <w:lang w:val="en-US"/>
        </w:rPr>
        <w:instrText xml:space="preserve"> PAGEREF _Toc143673246 \h </w:instrText>
      </w:r>
      <w:r>
        <w:rPr>
          <w:noProof/>
        </w:rPr>
      </w:r>
      <w:r>
        <w:rPr>
          <w:noProof/>
        </w:rPr>
        <w:fldChar w:fldCharType="separate"/>
      </w:r>
      <w:r w:rsidR="009805E6">
        <w:rPr>
          <w:noProof/>
          <w:lang w:val="en-US"/>
        </w:rPr>
        <w:t>46</w:t>
      </w:r>
      <w:r>
        <w:rPr>
          <w:noProof/>
        </w:rPr>
        <w:fldChar w:fldCharType="end"/>
      </w:r>
    </w:p>
    <w:p w14:paraId="49F32B8C" w14:textId="25134E4C"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6. Conclusions</w:t>
      </w:r>
      <w:r w:rsidRPr="008C31AA">
        <w:rPr>
          <w:noProof/>
          <w:lang w:val="en-US"/>
        </w:rPr>
        <w:tab/>
      </w:r>
      <w:r>
        <w:rPr>
          <w:noProof/>
        </w:rPr>
        <w:fldChar w:fldCharType="begin"/>
      </w:r>
      <w:r w:rsidRPr="008C31AA">
        <w:rPr>
          <w:noProof/>
          <w:lang w:val="en-US"/>
        </w:rPr>
        <w:instrText xml:space="preserve"> PAGEREF _Toc143673247 \h </w:instrText>
      </w:r>
      <w:r>
        <w:rPr>
          <w:noProof/>
        </w:rPr>
      </w:r>
      <w:r>
        <w:rPr>
          <w:noProof/>
        </w:rPr>
        <w:fldChar w:fldCharType="separate"/>
      </w:r>
      <w:r w:rsidR="009805E6">
        <w:rPr>
          <w:noProof/>
          <w:lang w:val="en-US"/>
        </w:rPr>
        <w:t>49</w:t>
      </w:r>
      <w:r>
        <w:rPr>
          <w:noProof/>
        </w:rPr>
        <w:fldChar w:fldCharType="end"/>
      </w:r>
    </w:p>
    <w:p w14:paraId="10DA8948" w14:textId="157A10D9"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6.1 Summary of findings</w:t>
      </w:r>
      <w:r w:rsidRPr="008C31AA">
        <w:rPr>
          <w:noProof/>
          <w:lang w:val="en-US"/>
        </w:rPr>
        <w:tab/>
      </w:r>
      <w:r>
        <w:rPr>
          <w:noProof/>
        </w:rPr>
        <w:fldChar w:fldCharType="begin"/>
      </w:r>
      <w:r w:rsidRPr="008C31AA">
        <w:rPr>
          <w:noProof/>
          <w:lang w:val="en-US"/>
        </w:rPr>
        <w:instrText xml:space="preserve"> PAGEREF _Toc143673248 \h </w:instrText>
      </w:r>
      <w:r>
        <w:rPr>
          <w:noProof/>
        </w:rPr>
      </w:r>
      <w:r>
        <w:rPr>
          <w:noProof/>
        </w:rPr>
        <w:fldChar w:fldCharType="separate"/>
      </w:r>
      <w:r w:rsidR="009805E6">
        <w:rPr>
          <w:noProof/>
          <w:lang w:val="en-US"/>
        </w:rPr>
        <w:t>50</w:t>
      </w:r>
      <w:r>
        <w:rPr>
          <w:noProof/>
        </w:rPr>
        <w:fldChar w:fldCharType="end"/>
      </w:r>
    </w:p>
    <w:p w14:paraId="2AD14674" w14:textId="1C628607"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6.2 Contributions to the field</w:t>
      </w:r>
      <w:r w:rsidRPr="008C31AA">
        <w:rPr>
          <w:noProof/>
          <w:lang w:val="en-US"/>
        </w:rPr>
        <w:tab/>
      </w:r>
      <w:r>
        <w:rPr>
          <w:noProof/>
        </w:rPr>
        <w:fldChar w:fldCharType="begin"/>
      </w:r>
      <w:r w:rsidRPr="008C31AA">
        <w:rPr>
          <w:noProof/>
          <w:lang w:val="en-US"/>
        </w:rPr>
        <w:instrText xml:space="preserve"> PAGEREF _Toc143673249 \h </w:instrText>
      </w:r>
      <w:r>
        <w:rPr>
          <w:noProof/>
        </w:rPr>
      </w:r>
      <w:r>
        <w:rPr>
          <w:noProof/>
        </w:rPr>
        <w:fldChar w:fldCharType="separate"/>
      </w:r>
      <w:r w:rsidR="009805E6">
        <w:rPr>
          <w:noProof/>
          <w:lang w:val="en-US"/>
        </w:rPr>
        <w:t>51</w:t>
      </w:r>
      <w:r>
        <w:rPr>
          <w:noProof/>
        </w:rPr>
        <w:fldChar w:fldCharType="end"/>
      </w:r>
    </w:p>
    <w:p w14:paraId="3988ABEE" w14:textId="7C1A2D5C"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6.3 Limitations of the study</w:t>
      </w:r>
      <w:r w:rsidRPr="008C31AA">
        <w:rPr>
          <w:noProof/>
          <w:lang w:val="en-US"/>
        </w:rPr>
        <w:tab/>
      </w:r>
      <w:r>
        <w:rPr>
          <w:noProof/>
        </w:rPr>
        <w:fldChar w:fldCharType="begin"/>
      </w:r>
      <w:r w:rsidRPr="008C31AA">
        <w:rPr>
          <w:noProof/>
          <w:lang w:val="en-US"/>
        </w:rPr>
        <w:instrText xml:space="preserve"> PAGEREF _Toc143673250 \h </w:instrText>
      </w:r>
      <w:r>
        <w:rPr>
          <w:noProof/>
        </w:rPr>
      </w:r>
      <w:r>
        <w:rPr>
          <w:noProof/>
        </w:rPr>
        <w:fldChar w:fldCharType="separate"/>
      </w:r>
      <w:r w:rsidR="009805E6">
        <w:rPr>
          <w:noProof/>
          <w:lang w:val="en-US"/>
        </w:rPr>
        <w:t>52</w:t>
      </w:r>
      <w:r>
        <w:rPr>
          <w:noProof/>
        </w:rPr>
        <w:fldChar w:fldCharType="end"/>
      </w:r>
    </w:p>
    <w:p w14:paraId="4B38907E" w14:textId="462592BB"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6.4 Suggestions for future research</w:t>
      </w:r>
      <w:r w:rsidRPr="008C31AA">
        <w:rPr>
          <w:noProof/>
          <w:lang w:val="en-US"/>
        </w:rPr>
        <w:tab/>
      </w:r>
      <w:r>
        <w:rPr>
          <w:noProof/>
        </w:rPr>
        <w:fldChar w:fldCharType="begin"/>
      </w:r>
      <w:r w:rsidRPr="008C31AA">
        <w:rPr>
          <w:noProof/>
          <w:lang w:val="en-US"/>
        </w:rPr>
        <w:instrText xml:space="preserve"> PAGEREF _Toc143673251 \h </w:instrText>
      </w:r>
      <w:r>
        <w:rPr>
          <w:noProof/>
        </w:rPr>
      </w:r>
      <w:r>
        <w:rPr>
          <w:noProof/>
        </w:rPr>
        <w:fldChar w:fldCharType="separate"/>
      </w:r>
      <w:r w:rsidR="009805E6">
        <w:rPr>
          <w:noProof/>
          <w:lang w:val="en-US"/>
        </w:rPr>
        <w:t>53</w:t>
      </w:r>
      <w:r>
        <w:rPr>
          <w:noProof/>
        </w:rPr>
        <w:fldChar w:fldCharType="end"/>
      </w:r>
    </w:p>
    <w:p w14:paraId="540C131B" w14:textId="49F6B0A0"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7. References</w:t>
      </w:r>
      <w:r w:rsidRPr="008C31AA">
        <w:rPr>
          <w:noProof/>
          <w:lang w:val="en-US"/>
        </w:rPr>
        <w:tab/>
      </w:r>
      <w:r>
        <w:rPr>
          <w:noProof/>
        </w:rPr>
        <w:fldChar w:fldCharType="begin"/>
      </w:r>
      <w:r w:rsidRPr="008C31AA">
        <w:rPr>
          <w:noProof/>
          <w:lang w:val="en-US"/>
        </w:rPr>
        <w:instrText xml:space="preserve"> PAGEREF _Toc143673252 \h </w:instrText>
      </w:r>
      <w:r>
        <w:rPr>
          <w:noProof/>
        </w:rPr>
      </w:r>
      <w:r>
        <w:rPr>
          <w:noProof/>
        </w:rPr>
        <w:fldChar w:fldCharType="separate"/>
      </w:r>
      <w:r w:rsidR="009805E6">
        <w:rPr>
          <w:noProof/>
          <w:lang w:val="en-US"/>
        </w:rPr>
        <w:t>55</w:t>
      </w:r>
      <w:r>
        <w:rPr>
          <w:noProof/>
        </w:rPr>
        <w:fldChar w:fldCharType="end"/>
      </w:r>
    </w:p>
    <w:p w14:paraId="6E45CAC6" w14:textId="71D808A6"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8. Appendix</w:t>
      </w:r>
      <w:r w:rsidRPr="008C31AA">
        <w:rPr>
          <w:noProof/>
          <w:lang w:val="en-US"/>
        </w:rPr>
        <w:tab/>
      </w:r>
      <w:r>
        <w:rPr>
          <w:noProof/>
        </w:rPr>
        <w:fldChar w:fldCharType="begin"/>
      </w:r>
      <w:r w:rsidRPr="008C31AA">
        <w:rPr>
          <w:noProof/>
          <w:lang w:val="en-US"/>
        </w:rPr>
        <w:instrText xml:space="preserve"> PAGEREF _Toc143673253 \h </w:instrText>
      </w:r>
      <w:r>
        <w:rPr>
          <w:noProof/>
        </w:rPr>
      </w:r>
      <w:r>
        <w:rPr>
          <w:noProof/>
        </w:rPr>
        <w:fldChar w:fldCharType="separate"/>
      </w:r>
      <w:r w:rsidR="009805E6">
        <w:rPr>
          <w:noProof/>
          <w:lang w:val="en-US"/>
        </w:rPr>
        <w:t>61</w:t>
      </w:r>
      <w:r>
        <w:rPr>
          <w:noProof/>
        </w:rPr>
        <w:fldChar w:fldCharType="end"/>
      </w:r>
    </w:p>
    <w:p w14:paraId="0680F137" w14:textId="6EEE1D74"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cs="Arial"/>
          <w:noProof/>
          <w:lang w:val="en-US"/>
        </w:rPr>
        <w:t>8.1 Abbreviations, symbols and other notational conventions</w:t>
      </w:r>
      <w:r w:rsidRPr="008C31AA">
        <w:rPr>
          <w:noProof/>
          <w:lang w:val="en-US"/>
        </w:rPr>
        <w:tab/>
      </w:r>
      <w:r>
        <w:rPr>
          <w:noProof/>
        </w:rPr>
        <w:fldChar w:fldCharType="begin"/>
      </w:r>
      <w:r w:rsidRPr="008C31AA">
        <w:rPr>
          <w:noProof/>
          <w:lang w:val="en-US"/>
        </w:rPr>
        <w:instrText xml:space="preserve"> PAGEREF _Toc143673254 \h </w:instrText>
      </w:r>
      <w:r>
        <w:rPr>
          <w:noProof/>
        </w:rPr>
      </w:r>
      <w:r>
        <w:rPr>
          <w:noProof/>
        </w:rPr>
        <w:fldChar w:fldCharType="separate"/>
      </w:r>
      <w:r w:rsidR="009805E6">
        <w:rPr>
          <w:noProof/>
          <w:lang w:val="en-US"/>
        </w:rPr>
        <w:t>61</w:t>
      </w:r>
      <w:r>
        <w:rPr>
          <w:noProof/>
        </w:rPr>
        <w:fldChar w:fldCharType="end"/>
      </w:r>
    </w:p>
    <w:p w14:paraId="1BB27205" w14:textId="7B392CE3"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cs="Arial"/>
          <w:noProof/>
          <w:lang w:val="en-US"/>
        </w:rPr>
        <w:t>8.2 List of critical items</w:t>
      </w:r>
      <w:r w:rsidRPr="008C31AA">
        <w:rPr>
          <w:noProof/>
          <w:lang w:val="en-US"/>
        </w:rPr>
        <w:tab/>
      </w:r>
      <w:r>
        <w:rPr>
          <w:noProof/>
        </w:rPr>
        <w:fldChar w:fldCharType="begin"/>
      </w:r>
      <w:r w:rsidRPr="008C31AA">
        <w:rPr>
          <w:noProof/>
          <w:lang w:val="en-US"/>
        </w:rPr>
        <w:instrText xml:space="preserve"> PAGEREF _Toc143673255 \h </w:instrText>
      </w:r>
      <w:r>
        <w:rPr>
          <w:noProof/>
        </w:rPr>
      </w:r>
      <w:r>
        <w:rPr>
          <w:noProof/>
        </w:rPr>
        <w:fldChar w:fldCharType="separate"/>
      </w:r>
      <w:r w:rsidR="009805E6">
        <w:rPr>
          <w:noProof/>
          <w:lang w:val="en-US"/>
        </w:rPr>
        <w:t>62</w:t>
      </w:r>
      <w:r>
        <w:rPr>
          <w:noProof/>
        </w:rPr>
        <w:fldChar w:fldCharType="end"/>
      </w:r>
    </w:p>
    <w:p w14:paraId="27CCF5A5" w14:textId="3F18931B"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8.3 List of filler items</w:t>
      </w:r>
      <w:r w:rsidRPr="008C31AA">
        <w:rPr>
          <w:noProof/>
          <w:lang w:val="en-US"/>
        </w:rPr>
        <w:tab/>
      </w:r>
      <w:r>
        <w:rPr>
          <w:noProof/>
        </w:rPr>
        <w:fldChar w:fldCharType="begin"/>
      </w:r>
      <w:r w:rsidRPr="008C31AA">
        <w:rPr>
          <w:noProof/>
          <w:lang w:val="en-US"/>
        </w:rPr>
        <w:instrText xml:space="preserve"> PAGEREF _Toc143673256 \h </w:instrText>
      </w:r>
      <w:r>
        <w:rPr>
          <w:noProof/>
        </w:rPr>
      </w:r>
      <w:r>
        <w:rPr>
          <w:noProof/>
        </w:rPr>
        <w:fldChar w:fldCharType="separate"/>
      </w:r>
      <w:r w:rsidR="009805E6">
        <w:rPr>
          <w:noProof/>
          <w:lang w:val="en-US"/>
        </w:rPr>
        <w:t>63</w:t>
      </w:r>
      <w:r>
        <w:rPr>
          <w:noProof/>
        </w:rPr>
        <w:fldChar w:fldCharType="end"/>
      </w:r>
    </w:p>
    <w:p w14:paraId="24873020" w14:textId="7CF88DE2"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2B094A5F" w14:textId="00897BE6" w:rsidR="00040534" w:rsidRDefault="00C62781"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682862" w:history="1">
        <w:r w:rsidR="00040534" w:rsidRPr="00536724">
          <w:rPr>
            <w:rStyle w:val="Hyperlink"/>
            <w:noProof/>
            <w:lang w:val="en-US"/>
          </w:rPr>
          <w:t>Figure 1: Pitch contour of stimuli with emphasis</w:t>
        </w:r>
        <w:r w:rsidR="00040534">
          <w:rPr>
            <w:noProof/>
            <w:webHidden/>
          </w:rPr>
          <w:tab/>
        </w:r>
        <w:r w:rsidR="00040534">
          <w:rPr>
            <w:noProof/>
            <w:webHidden/>
          </w:rPr>
          <w:fldChar w:fldCharType="begin"/>
        </w:r>
        <w:r w:rsidR="00040534">
          <w:rPr>
            <w:noProof/>
            <w:webHidden/>
          </w:rPr>
          <w:instrText xml:space="preserve"> PAGEREF _Toc143682862 \h </w:instrText>
        </w:r>
        <w:r w:rsidR="00040534">
          <w:rPr>
            <w:noProof/>
            <w:webHidden/>
          </w:rPr>
        </w:r>
        <w:r w:rsidR="00040534">
          <w:rPr>
            <w:noProof/>
            <w:webHidden/>
          </w:rPr>
          <w:fldChar w:fldCharType="separate"/>
        </w:r>
        <w:r w:rsidR="009805E6">
          <w:rPr>
            <w:noProof/>
            <w:webHidden/>
          </w:rPr>
          <w:t>27</w:t>
        </w:r>
        <w:r w:rsidR="00040534">
          <w:rPr>
            <w:noProof/>
            <w:webHidden/>
          </w:rPr>
          <w:fldChar w:fldCharType="end"/>
        </w:r>
      </w:hyperlink>
    </w:p>
    <w:p w14:paraId="1E76F2E2" w14:textId="2A704C4F"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3" w:history="1">
        <w:r w:rsidR="00040534" w:rsidRPr="00536724">
          <w:rPr>
            <w:rStyle w:val="Hyperlink"/>
            <w:noProof/>
            <w:lang w:val="en-US"/>
          </w:rPr>
          <w:t>Figure 2: Pitch contour of stimuli without emphasis.</w:t>
        </w:r>
        <w:r w:rsidR="00040534">
          <w:rPr>
            <w:noProof/>
            <w:webHidden/>
          </w:rPr>
          <w:tab/>
        </w:r>
        <w:r w:rsidR="00040534">
          <w:rPr>
            <w:noProof/>
            <w:webHidden/>
          </w:rPr>
          <w:fldChar w:fldCharType="begin"/>
        </w:r>
        <w:r w:rsidR="00040534">
          <w:rPr>
            <w:noProof/>
            <w:webHidden/>
          </w:rPr>
          <w:instrText xml:space="preserve"> PAGEREF _Toc143682863 \h </w:instrText>
        </w:r>
        <w:r w:rsidR="00040534">
          <w:rPr>
            <w:noProof/>
            <w:webHidden/>
          </w:rPr>
        </w:r>
        <w:r w:rsidR="00040534">
          <w:rPr>
            <w:noProof/>
            <w:webHidden/>
          </w:rPr>
          <w:fldChar w:fldCharType="separate"/>
        </w:r>
        <w:r w:rsidR="009805E6">
          <w:rPr>
            <w:noProof/>
            <w:webHidden/>
          </w:rPr>
          <w:t>28</w:t>
        </w:r>
        <w:r w:rsidR="00040534">
          <w:rPr>
            <w:noProof/>
            <w:webHidden/>
          </w:rPr>
          <w:fldChar w:fldCharType="end"/>
        </w:r>
      </w:hyperlink>
    </w:p>
    <w:p w14:paraId="54508FCF" w14:textId="07ACE7E9"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4" w:history="1">
        <w:r w:rsidR="00040534" w:rsidRPr="00536724">
          <w:rPr>
            <w:rStyle w:val="Hyperlink"/>
            <w:noProof/>
            <w:lang w:val="en-US"/>
          </w:rPr>
          <w:t>Figure 3: Scatter plot of participants' ratings of all critical items</w:t>
        </w:r>
        <w:r w:rsidR="00040534">
          <w:rPr>
            <w:noProof/>
            <w:webHidden/>
          </w:rPr>
          <w:tab/>
        </w:r>
        <w:r w:rsidR="00040534">
          <w:rPr>
            <w:noProof/>
            <w:webHidden/>
          </w:rPr>
          <w:fldChar w:fldCharType="begin"/>
        </w:r>
        <w:r w:rsidR="00040534">
          <w:rPr>
            <w:noProof/>
            <w:webHidden/>
          </w:rPr>
          <w:instrText xml:space="preserve"> PAGEREF _Toc143682864 \h </w:instrText>
        </w:r>
        <w:r w:rsidR="00040534">
          <w:rPr>
            <w:noProof/>
            <w:webHidden/>
          </w:rPr>
        </w:r>
        <w:r w:rsidR="00040534">
          <w:rPr>
            <w:noProof/>
            <w:webHidden/>
          </w:rPr>
          <w:fldChar w:fldCharType="separate"/>
        </w:r>
        <w:r w:rsidR="009805E6">
          <w:rPr>
            <w:noProof/>
            <w:webHidden/>
          </w:rPr>
          <w:t>32</w:t>
        </w:r>
        <w:r w:rsidR="00040534">
          <w:rPr>
            <w:noProof/>
            <w:webHidden/>
          </w:rPr>
          <w:fldChar w:fldCharType="end"/>
        </w:r>
      </w:hyperlink>
    </w:p>
    <w:p w14:paraId="31A9CB85" w14:textId="10EDB528"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5" w:history="1">
        <w:r w:rsidR="00040534" w:rsidRPr="00536724">
          <w:rPr>
            <w:rStyle w:val="Hyperlink"/>
            <w:noProof/>
            <w:lang w:val="en-US"/>
          </w:rPr>
          <w:t>Figure 4: Mosaic plots of participants' ratings of each factor</w:t>
        </w:r>
        <w:r w:rsidR="00040534">
          <w:rPr>
            <w:noProof/>
            <w:webHidden/>
          </w:rPr>
          <w:tab/>
        </w:r>
        <w:r w:rsidR="00040534">
          <w:rPr>
            <w:noProof/>
            <w:webHidden/>
          </w:rPr>
          <w:fldChar w:fldCharType="begin"/>
        </w:r>
        <w:r w:rsidR="00040534">
          <w:rPr>
            <w:noProof/>
            <w:webHidden/>
          </w:rPr>
          <w:instrText xml:space="preserve"> PAGEREF _Toc143682865 \h </w:instrText>
        </w:r>
        <w:r w:rsidR="00040534">
          <w:rPr>
            <w:noProof/>
            <w:webHidden/>
          </w:rPr>
        </w:r>
        <w:r w:rsidR="00040534">
          <w:rPr>
            <w:noProof/>
            <w:webHidden/>
          </w:rPr>
          <w:fldChar w:fldCharType="separate"/>
        </w:r>
        <w:r w:rsidR="009805E6">
          <w:rPr>
            <w:noProof/>
            <w:webHidden/>
          </w:rPr>
          <w:t>33</w:t>
        </w:r>
        <w:r w:rsidR="00040534">
          <w:rPr>
            <w:noProof/>
            <w:webHidden/>
          </w:rPr>
          <w:fldChar w:fldCharType="end"/>
        </w:r>
      </w:hyperlink>
    </w:p>
    <w:p w14:paraId="59F1868E" w14:textId="0B2909AB"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6" w:history="1">
        <w:r w:rsidR="00040534" w:rsidRPr="00536724">
          <w:rPr>
            <w:rStyle w:val="Hyperlink"/>
            <w:noProof/>
            <w:lang w:val="en-US"/>
          </w:rPr>
          <w:t>Figure 5: Box plot of participants' ratings of all critical items</w:t>
        </w:r>
        <w:r w:rsidR="00040534">
          <w:rPr>
            <w:noProof/>
            <w:webHidden/>
          </w:rPr>
          <w:tab/>
        </w:r>
        <w:r w:rsidR="00040534">
          <w:rPr>
            <w:noProof/>
            <w:webHidden/>
          </w:rPr>
          <w:fldChar w:fldCharType="begin"/>
        </w:r>
        <w:r w:rsidR="00040534">
          <w:rPr>
            <w:noProof/>
            <w:webHidden/>
          </w:rPr>
          <w:instrText xml:space="preserve"> PAGEREF _Toc143682866 \h </w:instrText>
        </w:r>
        <w:r w:rsidR="00040534">
          <w:rPr>
            <w:noProof/>
            <w:webHidden/>
          </w:rPr>
        </w:r>
        <w:r w:rsidR="00040534">
          <w:rPr>
            <w:noProof/>
            <w:webHidden/>
          </w:rPr>
          <w:fldChar w:fldCharType="separate"/>
        </w:r>
        <w:r w:rsidR="009805E6">
          <w:rPr>
            <w:noProof/>
            <w:webHidden/>
          </w:rPr>
          <w:t>34</w:t>
        </w:r>
        <w:r w:rsidR="00040534">
          <w:rPr>
            <w:noProof/>
            <w:webHidden/>
          </w:rPr>
          <w:fldChar w:fldCharType="end"/>
        </w:r>
      </w:hyperlink>
    </w:p>
    <w:p w14:paraId="21C3DC3D" w14:textId="714FB3F2"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7" w:history="1">
        <w:r w:rsidR="00040534" w:rsidRPr="00536724">
          <w:rPr>
            <w:rStyle w:val="Hyperlink"/>
            <w:noProof/>
            <w:lang w:val="en-US"/>
          </w:rPr>
          <w:t>Figure 6: Comparison of participants' ratings of stimuli with and without emphasis</w:t>
        </w:r>
        <w:r w:rsidR="00040534">
          <w:rPr>
            <w:noProof/>
            <w:webHidden/>
          </w:rPr>
          <w:tab/>
        </w:r>
        <w:r w:rsidR="00040534">
          <w:rPr>
            <w:noProof/>
            <w:webHidden/>
          </w:rPr>
          <w:fldChar w:fldCharType="begin"/>
        </w:r>
        <w:r w:rsidR="00040534">
          <w:rPr>
            <w:noProof/>
            <w:webHidden/>
          </w:rPr>
          <w:instrText xml:space="preserve"> PAGEREF _Toc143682867 \h </w:instrText>
        </w:r>
        <w:r w:rsidR="00040534">
          <w:rPr>
            <w:noProof/>
            <w:webHidden/>
          </w:rPr>
        </w:r>
        <w:r w:rsidR="00040534">
          <w:rPr>
            <w:noProof/>
            <w:webHidden/>
          </w:rPr>
          <w:fldChar w:fldCharType="separate"/>
        </w:r>
        <w:r w:rsidR="009805E6">
          <w:rPr>
            <w:noProof/>
            <w:webHidden/>
          </w:rPr>
          <w:t>36</w:t>
        </w:r>
        <w:r w:rsidR="00040534">
          <w:rPr>
            <w:noProof/>
            <w:webHidden/>
          </w:rPr>
          <w:fldChar w:fldCharType="end"/>
        </w:r>
      </w:hyperlink>
    </w:p>
    <w:p w14:paraId="71E4E427" w14:textId="25D84618"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8" w:history="1">
        <w:r w:rsidR="00040534" w:rsidRPr="00536724">
          <w:rPr>
            <w:rStyle w:val="Hyperlink"/>
            <w:noProof/>
            <w:lang w:val="en-US"/>
          </w:rPr>
          <w:t>Figure 7: Comparison of participants' ratings of auditory and written stimuli</w:t>
        </w:r>
        <w:r w:rsidR="00040534">
          <w:rPr>
            <w:noProof/>
            <w:webHidden/>
          </w:rPr>
          <w:tab/>
        </w:r>
        <w:r w:rsidR="00040534">
          <w:rPr>
            <w:noProof/>
            <w:webHidden/>
          </w:rPr>
          <w:fldChar w:fldCharType="begin"/>
        </w:r>
        <w:r w:rsidR="00040534">
          <w:rPr>
            <w:noProof/>
            <w:webHidden/>
          </w:rPr>
          <w:instrText xml:space="preserve"> PAGEREF _Toc143682868 \h </w:instrText>
        </w:r>
        <w:r w:rsidR="00040534">
          <w:rPr>
            <w:noProof/>
            <w:webHidden/>
          </w:rPr>
        </w:r>
        <w:r w:rsidR="00040534">
          <w:rPr>
            <w:noProof/>
            <w:webHidden/>
          </w:rPr>
          <w:fldChar w:fldCharType="separate"/>
        </w:r>
        <w:r w:rsidR="009805E6">
          <w:rPr>
            <w:noProof/>
            <w:webHidden/>
          </w:rPr>
          <w:t>37</w:t>
        </w:r>
        <w:r w:rsidR="00040534">
          <w:rPr>
            <w:noProof/>
            <w:webHidden/>
          </w:rPr>
          <w:fldChar w:fldCharType="end"/>
        </w:r>
      </w:hyperlink>
    </w:p>
    <w:p w14:paraId="75119DC2" w14:textId="7D25C3E3"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9" w:history="1">
        <w:r w:rsidR="00040534" w:rsidRPr="00536724">
          <w:rPr>
            <w:rStyle w:val="Hyperlink"/>
            <w:noProof/>
            <w:lang w:val="en-US"/>
          </w:rPr>
          <w:t>Figure 8: Comparison of participants' ratings of stimuli with functional and lexical fragments.</w:t>
        </w:r>
        <w:r w:rsidR="00040534">
          <w:rPr>
            <w:noProof/>
            <w:webHidden/>
          </w:rPr>
          <w:tab/>
        </w:r>
        <w:r w:rsidR="00040534">
          <w:rPr>
            <w:noProof/>
            <w:webHidden/>
          </w:rPr>
          <w:fldChar w:fldCharType="begin"/>
        </w:r>
        <w:r w:rsidR="00040534">
          <w:rPr>
            <w:noProof/>
            <w:webHidden/>
          </w:rPr>
          <w:instrText xml:space="preserve"> PAGEREF _Toc143682869 \h </w:instrText>
        </w:r>
        <w:r w:rsidR="00040534">
          <w:rPr>
            <w:noProof/>
            <w:webHidden/>
          </w:rPr>
        </w:r>
        <w:r w:rsidR="00040534">
          <w:rPr>
            <w:noProof/>
            <w:webHidden/>
          </w:rPr>
          <w:fldChar w:fldCharType="separate"/>
        </w:r>
        <w:r w:rsidR="009805E6">
          <w:rPr>
            <w:noProof/>
            <w:webHidden/>
          </w:rPr>
          <w:t>38</w:t>
        </w:r>
        <w:r w:rsidR="00040534">
          <w:rPr>
            <w:noProof/>
            <w:webHidden/>
          </w:rPr>
          <w:fldChar w:fldCharType="end"/>
        </w:r>
      </w:hyperlink>
    </w:p>
    <w:p w14:paraId="3FDE0367" w14:textId="13C3DFA7"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70" w:history="1">
        <w:r w:rsidR="00040534" w:rsidRPr="00536724">
          <w:rPr>
            <w:rStyle w:val="Hyperlink"/>
            <w:noProof/>
            <w:lang w:val="en-US"/>
          </w:rPr>
          <w:t>Figure 9: Scatter plot of participants' ratings by age group</w:t>
        </w:r>
        <w:r w:rsidR="00040534">
          <w:rPr>
            <w:noProof/>
            <w:webHidden/>
          </w:rPr>
          <w:tab/>
        </w:r>
        <w:r w:rsidR="00040534">
          <w:rPr>
            <w:noProof/>
            <w:webHidden/>
          </w:rPr>
          <w:fldChar w:fldCharType="begin"/>
        </w:r>
        <w:r w:rsidR="00040534">
          <w:rPr>
            <w:noProof/>
            <w:webHidden/>
          </w:rPr>
          <w:instrText xml:space="preserve"> PAGEREF _Toc143682870 \h </w:instrText>
        </w:r>
        <w:r w:rsidR="00040534">
          <w:rPr>
            <w:noProof/>
            <w:webHidden/>
          </w:rPr>
        </w:r>
        <w:r w:rsidR="00040534">
          <w:rPr>
            <w:noProof/>
            <w:webHidden/>
          </w:rPr>
          <w:fldChar w:fldCharType="separate"/>
        </w:r>
        <w:r w:rsidR="009805E6">
          <w:rPr>
            <w:noProof/>
            <w:webHidden/>
          </w:rPr>
          <w:t>41</w:t>
        </w:r>
        <w:r w:rsidR="00040534">
          <w:rPr>
            <w:noProof/>
            <w:webHidden/>
          </w:rPr>
          <w:fldChar w:fldCharType="end"/>
        </w:r>
      </w:hyperlink>
    </w:p>
    <w:p w14:paraId="43355DDC" w14:textId="114BF793" w:rsidR="00040534" w:rsidRDefault="00000000"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71" w:history="1">
        <w:r w:rsidR="00040534" w:rsidRPr="00536724">
          <w:rPr>
            <w:rStyle w:val="Hyperlink"/>
            <w:noProof/>
            <w:lang w:val="en-US"/>
          </w:rPr>
          <w:t>Figure 10: Scatter plot of participants' ratings by linguistic profile</w:t>
        </w:r>
        <w:r w:rsidR="00040534">
          <w:rPr>
            <w:noProof/>
            <w:webHidden/>
          </w:rPr>
          <w:tab/>
        </w:r>
        <w:r w:rsidR="00040534">
          <w:rPr>
            <w:noProof/>
            <w:webHidden/>
          </w:rPr>
          <w:fldChar w:fldCharType="begin"/>
        </w:r>
        <w:r w:rsidR="00040534">
          <w:rPr>
            <w:noProof/>
            <w:webHidden/>
          </w:rPr>
          <w:instrText xml:space="preserve"> PAGEREF _Toc143682871 \h </w:instrText>
        </w:r>
        <w:r w:rsidR="00040534">
          <w:rPr>
            <w:noProof/>
            <w:webHidden/>
          </w:rPr>
        </w:r>
        <w:r w:rsidR="00040534">
          <w:rPr>
            <w:noProof/>
            <w:webHidden/>
          </w:rPr>
          <w:fldChar w:fldCharType="separate"/>
        </w:r>
        <w:r w:rsidR="009805E6">
          <w:rPr>
            <w:noProof/>
            <w:webHidden/>
          </w:rPr>
          <w:t>43</w:t>
        </w:r>
        <w:r w:rsidR="00040534">
          <w:rPr>
            <w:noProof/>
            <w:webHidden/>
          </w:rPr>
          <w:fldChar w:fldCharType="end"/>
        </w:r>
      </w:hyperlink>
    </w:p>
    <w:p w14:paraId="41304432" w14:textId="715E99C9" w:rsidR="00B23732" w:rsidRDefault="00C62781" w:rsidP="0037365C">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A0E9E9A" w14:textId="77777777" w:rsidR="002D3862" w:rsidRDefault="002D3862">
      <w:pPr>
        <w:rPr>
          <w:rFonts w:cs="Arial"/>
          <w:szCs w:val="24"/>
          <w:lang w:val="en-US"/>
        </w:rPr>
        <w:sectPr w:rsidR="002D3862" w:rsidSect="00196917">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2268" w:header="709" w:footer="709" w:gutter="0"/>
          <w:cols w:space="708"/>
          <w:titlePg/>
          <w:docGrid w:linePitch="360"/>
        </w:sectPr>
      </w:pP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3845D04D" w:rsidR="00122BB0" w:rsidRPr="0082555A" w:rsidRDefault="001D7604" w:rsidP="00122BB0">
      <w:pPr>
        <w:spacing w:after="0" w:line="360" w:lineRule="auto"/>
        <w:jc w:val="both"/>
        <w:rPr>
          <w:rFonts w:cs="Arial"/>
          <w:szCs w:val="24"/>
          <w:lang w:val="en-US"/>
        </w:rPr>
      </w:pPr>
      <w:r w:rsidRPr="00F21166">
        <w:rPr>
          <w:lang w:val="en-US"/>
        </w:rPr>
        <w:t>Addressing the research gap related to the significance of emphasis and semantics in fragments, this study focuses on exploring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whether the fragmentary answer included lexical or functional words</w:t>
      </w:r>
      <w:r w:rsidR="0082555A">
        <w:rPr>
          <w:rFonts w:cs="Arial"/>
          <w:szCs w:val="24"/>
          <w:lang w:val="en-AU"/>
        </w:rPr>
        <w:t xml:space="preserve">,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 xml:space="preserve">or not, </w:t>
      </w:r>
      <w:r w:rsidR="00E92CCD">
        <w:rPr>
          <w:rFonts w:cs="Arial"/>
          <w:szCs w:val="24"/>
          <w:lang w:val="en-AU"/>
        </w:rPr>
        <w:t xml:space="preserve">and </w:t>
      </w:r>
      <w:r w:rsidR="00122BB0">
        <w:rPr>
          <w:rFonts w:cs="Arial"/>
          <w:szCs w:val="24"/>
          <w:lang w:val="en-AU"/>
        </w:rPr>
        <w:t>w</w:t>
      </w:r>
      <w:r w:rsidR="00E92CCD">
        <w:rPr>
          <w:rFonts w:cs="Arial"/>
          <w:szCs w:val="24"/>
          <w:lang w:val="en-AU"/>
        </w:rPr>
        <w:t>ere</w:t>
      </w:r>
      <w:r w:rsidR="00122BB0">
        <w:rPr>
          <w:rFonts w:cs="Arial"/>
          <w:szCs w:val="24"/>
          <w:lang w:val="en-AU"/>
        </w:rPr>
        <w:t xml:space="preserve"> presented to 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who were </w:t>
      </w:r>
      <w:r w:rsidR="00B56CA1">
        <w:rPr>
          <w:rFonts w:cs="Arial"/>
          <w:szCs w:val="24"/>
          <w:lang w:val="en-AU"/>
        </w:rPr>
        <w:t xml:space="preserve">asked to rate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B56CA1">
        <w:rPr>
          <w:rFonts w:cs="Arial"/>
          <w:szCs w:val="24"/>
          <w:lang w:val="en-AU"/>
        </w:rPr>
        <w:t>on a 7-point Likert scale.</w:t>
      </w:r>
      <w:r w:rsidR="00122BB0">
        <w:rPr>
          <w:rFonts w:cs="Arial"/>
          <w:szCs w:val="24"/>
          <w:lang w:val="en-AU"/>
        </w:rPr>
        <w:t xml:space="preserve"> </w:t>
      </w:r>
      <w:r w:rsidR="00122BB0" w:rsidRPr="00122BB0">
        <w:rPr>
          <w:lang w:val="en-US"/>
        </w:rPr>
        <w:t xml:space="preserve">Results reveal that </w:t>
      </w:r>
      <w:proofErr w:type="gramStart"/>
      <w:r>
        <w:rPr>
          <w:lang w:val="en-US"/>
        </w:rPr>
        <w:t>as hypothesized,</w:t>
      </w:r>
      <w:proofErr w:type="gramEnd"/>
      <w:r w:rsidR="00E92CCD">
        <w:rPr>
          <w:lang w:val="en-US"/>
        </w:rPr>
        <w:t xml:space="preserve"> </w:t>
      </w:r>
      <w:r w:rsidR="00122BB0" w:rsidRPr="00122BB0">
        <w:rPr>
          <w:lang w:val="en-US"/>
        </w:rPr>
        <w:t xml:space="preserve">participants </w:t>
      </w:r>
      <w:r w:rsidR="00122BB0">
        <w:rPr>
          <w:lang w:val="en-US"/>
        </w:rPr>
        <w:t xml:space="preserve">give </w:t>
      </w:r>
      <w:r w:rsidR="00122BB0" w:rsidRPr="00122BB0">
        <w:rPr>
          <w:lang w:val="en-US"/>
        </w:rPr>
        <w:t xml:space="preserve">higher acceptability ratings for </w:t>
      </w:r>
      <w:r w:rsidR="00122BB0">
        <w:rPr>
          <w:lang w:val="en-US"/>
        </w:rPr>
        <w:t>auditorily presented dialogues that featured pitch accent</w:t>
      </w:r>
      <w:r w:rsidR="00E92CCD">
        <w:rPr>
          <w:lang w:val="en-US"/>
        </w:rPr>
        <w:t xml:space="preserve"> on the contrasting words. However, contrary to the last hypothesis, dialogues incorporating preposition as functional fragments were perceived as more natural than the ones featuring lexical contrasting words. </w:t>
      </w:r>
      <w:r w:rsidR="0082555A" w:rsidRPr="0082555A">
        <w:rPr>
          <w:lang w:val="en-US"/>
        </w:rPr>
        <w:t xml:space="preserve">These findings illuminate the intricate dynamics of acceptability ratings, ellipsis processing intricacies, and correlate-remnant pairing identification. This </w:t>
      </w:r>
      <w:r w:rsidR="0082555A">
        <w:rPr>
          <w:lang w:val="en-US"/>
        </w:rPr>
        <w:t xml:space="preserve">way, the </w:t>
      </w:r>
      <w:r w:rsidR="0082555A" w:rsidRPr="0082555A">
        <w:rPr>
          <w:lang w:val="en-US"/>
        </w:rPr>
        <w:t>study paves the way for further research and contributes to a deeper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673224"/>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43673225"/>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8C31AA"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8C31AA">
        <w:rPr>
          <w:rFonts w:cs="Arial"/>
          <w:iCs/>
          <w:szCs w:val="24"/>
        </w:rPr>
        <w:t xml:space="preserve">B: </w:t>
      </w:r>
      <w:r w:rsidR="00346437" w:rsidRPr="008C31AA">
        <w:rPr>
          <w:rFonts w:cs="Arial"/>
          <w:iCs/>
          <w:szCs w:val="24"/>
        </w:rPr>
        <w:tab/>
      </w:r>
      <w:r w:rsidR="00AC19C8" w:rsidRPr="008C31AA">
        <w:rPr>
          <w:rFonts w:cs="Arial"/>
          <w:iCs/>
          <w:szCs w:val="24"/>
        </w:rPr>
        <w:t>Nein, BIS 18 Uhr.</w:t>
      </w:r>
    </w:p>
    <w:p w14:paraId="60940BF4" w14:textId="227EC7A9" w:rsidR="00346437" w:rsidRPr="008C31AA" w:rsidRDefault="00346437" w:rsidP="00963453">
      <w:pPr>
        <w:pStyle w:val="Listenabsatz"/>
        <w:suppressLineNumbers/>
        <w:spacing w:after="0" w:line="240" w:lineRule="auto"/>
        <w:jc w:val="both"/>
        <w:rPr>
          <w:rFonts w:cs="Arial"/>
          <w:iCs/>
          <w:szCs w:val="24"/>
        </w:rPr>
      </w:pPr>
      <w:r w:rsidRPr="008C31AA">
        <w:rPr>
          <w:rFonts w:cs="Arial"/>
          <w:iCs/>
          <w:szCs w:val="24"/>
        </w:rPr>
        <w:tab/>
      </w:r>
      <w:r w:rsidR="00354577" w:rsidRPr="008C31AA">
        <w:rPr>
          <w:rFonts w:cs="Arial"/>
          <w:iCs/>
          <w:szCs w:val="24"/>
        </w:rPr>
        <w:t xml:space="preserve"> </w:t>
      </w:r>
      <w:r w:rsidR="00354577" w:rsidRPr="008C31AA">
        <w:rPr>
          <w:rFonts w:cs="Arial"/>
          <w:iCs/>
          <w:szCs w:val="24"/>
        </w:rPr>
        <w:tab/>
      </w:r>
      <w:r w:rsidRPr="008C31AA">
        <w:rPr>
          <w:rFonts w:cs="Arial"/>
          <w:iCs/>
          <w:szCs w:val="24"/>
        </w:rPr>
        <w:t>‘</w:t>
      </w:r>
      <w:proofErr w:type="spellStart"/>
      <w:r w:rsidR="0023763D" w:rsidRPr="008C31AA">
        <w:rPr>
          <w:rFonts w:cs="Arial"/>
          <w:iCs/>
          <w:szCs w:val="24"/>
        </w:rPr>
        <w:t>No</w:t>
      </w:r>
      <w:proofErr w:type="spellEnd"/>
      <w:r w:rsidR="0023763D" w:rsidRPr="008C31AA">
        <w:rPr>
          <w:rFonts w:cs="Arial"/>
          <w:iCs/>
          <w:szCs w:val="24"/>
        </w:rPr>
        <w:t>, UNTIL 6</w:t>
      </w:r>
      <w:proofErr w:type="gramStart"/>
      <w:r w:rsidR="0023763D" w:rsidRPr="008C31AA">
        <w:rPr>
          <w:rFonts w:cs="Arial"/>
          <w:iCs/>
          <w:szCs w:val="24"/>
        </w:rPr>
        <w:t>pm.</w:t>
      </w:r>
      <w:r w:rsidRPr="008C31AA">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8C31AA"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8C31AA">
        <w:rPr>
          <w:rFonts w:cs="Arial"/>
          <w:iCs/>
          <w:szCs w:val="24"/>
        </w:rPr>
        <w:t xml:space="preserve">B: </w:t>
      </w:r>
      <w:r w:rsidRPr="008C31AA">
        <w:rPr>
          <w:rFonts w:cs="Arial"/>
          <w:iCs/>
          <w:szCs w:val="24"/>
        </w:rPr>
        <w:tab/>
        <w:t>Nein, bis 18 Uhr.</w:t>
      </w:r>
    </w:p>
    <w:p w14:paraId="60E25379" w14:textId="77777777" w:rsidR="00E1176D" w:rsidRPr="008C31AA" w:rsidRDefault="00E1176D" w:rsidP="00E1176D">
      <w:pPr>
        <w:pStyle w:val="Listenabsatz"/>
        <w:suppressLineNumbers/>
        <w:spacing w:after="0" w:line="240" w:lineRule="auto"/>
        <w:jc w:val="both"/>
        <w:rPr>
          <w:rFonts w:cs="Arial"/>
          <w:iCs/>
          <w:szCs w:val="24"/>
        </w:rPr>
      </w:pPr>
      <w:r w:rsidRPr="008C31AA">
        <w:rPr>
          <w:rFonts w:cs="Arial"/>
          <w:iCs/>
          <w:szCs w:val="24"/>
        </w:rPr>
        <w:tab/>
        <w:t xml:space="preserve"> </w:t>
      </w:r>
      <w:r w:rsidRPr="008C31AA">
        <w:rPr>
          <w:rFonts w:cs="Arial"/>
          <w:iCs/>
          <w:szCs w:val="24"/>
        </w:rPr>
        <w:tab/>
        <w:t>‘</w:t>
      </w:r>
      <w:proofErr w:type="spellStart"/>
      <w:r w:rsidRPr="008C31AA">
        <w:rPr>
          <w:rFonts w:cs="Arial"/>
          <w:iCs/>
          <w:szCs w:val="24"/>
        </w:rPr>
        <w:t>No</w:t>
      </w:r>
      <w:proofErr w:type="spellEnd"/>
      <w:r w:rsidRPr="008C31AA">
        <w:rPr>
          <w:rFonts w:cs="Arial"/>
          <w:iCs/>
          <w:szCs w:val="24"/>
        </w:rPr>
        <w:t xml:space="preserve">, </w:t>
      </w:r>
      <w:proofErr w:type="spellStart"/>
      <w:r w:rsidRPr="008C31AA">
        <w:rPr>
          <w:rFonts w:cs="Arial"/>
          <w:iCs/>
          <w:szCs w:val="24"/>
        </w:rPr>
        <w:t>until</w:t>
      </w:r>
      <w:proofErr w:type="spellEnd"/>
      <w:r w:rsidRPr="008C31AA">
        <w:rPr>
          <w:rFonts w:cs="Arial"/>
          <w:iCs/>
          <w:szCs w:val="24"/>
        </w:rPr>
        <w:t xml:space="preserve"> 6</w:t>
      </w:r>
      <w:proofErr w:type="gramStart"/>
      <w:r w:rsidRPr="008C31AA">
        <w:rPr>
          <w:rFonts w:cs="Arial"/>
          <w:iCs/>
          <w:szCs w:val="24"/>
        </w:rPr>
        <w:t>pm.’</w:t>
      </w:r>
      <w:proofErr w:type="gramEnd"/>
      <w:r w:rsidRPr="008C31AA">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4C29942C"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43673226"/>
      <w:r>
        <w:t>1.2 Research questions and objectives</w:t>
      </w:r>
      <w:bookmarkEnd w:id="3"/>
    </w:p>
    <w:p w14:paraId="1084F3F0" w14:textId="240ED03E" w:rsidR="006E1417" w:rsidRPr="000D7FD3" w:rsidRDefault="00BB60C3" w:rsidP="00836C6F">
      <w:pPr>
        <w:pStyle w:val="StandardWeb"/>
        <w:spacing w:before="24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on fragments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Through the analysis of various stimulus characteristics, the aim is to enhance the comprehension of how modality, emphasis, and 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lastRenderedPageBreak/>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8C31AA"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8C31AA">
        <w:rPr>
          <w:rFonts w:cs="Arial"/>
          <w:szCs w:val="24"/>
        </w:rPr>
        <w:t xml:space="preserve">B: </w:t>
      </w:r>
      <w:r w:rsidR="00EF6719" w:rsidRPr="008C31AA">
        <w:rPr>
          <w:rFonts w:cs="Arial"/>
          <w:szCs w:val="24"/>
        </w:rPr>
        <w:tab/>
        <w:t>Nein, seinem VATER.</w:t>
      </w:r>
    </w:p>
    <w:p w14:paraId="55F2E929" w14:textId="1E2643D9" w:rsidR="00EF6719" w:rsidRPr="008C31AA" w:rsidRDefault="00EF6719" w:rsidP="00963453">
      <w:pPr>
        <w:pStyle w:val="Listenabsatz"/>
        <w:suppressLineNumbers/>
        <w:spacing w:after="0" w:line="240" w:lineRule="auto"/>
        <w:jc w:val="both"/>
        <w:rPr>
          <w:rFonts w:cs="Arial"/>
          <w:szCs w:val="24"/>
        </w:rPr>
      </w:pPr>
      <w:r w:rsidRPr="008C31AA">
        <w:rPr>
          <w:rFonts w:cs="Arial"/>
          <w:szCs w:val="24"/>
        </w:rPr>
        <w:tab/>
      </w:r>
      <w:r w:rsidR="00354577" w:rsidRPr="008C31AA">
        <w:rPr>
          <w:rFonts w:cs="Arial"/>
          <w:szCs w:val="24"/>
        </w:rPr>
        <w:t xml:space="preserve"> </w:t>
      </w:r>
      <w:r w:rsidR="00354577" w:rsidRPr="008C31AA">
        <w:rPr>
          <w:rFonts w:cs="Arial"/>
          <w:szCs w:val="24"/>
        </w:rPr>
        <w:tab/>
      </w:r>
      <w:r w:rsidRPr="008C31AA">
        <w:rPr>
          <w:rFonts w:cs="Arial"/>
          <w:szCs w:val="24"/>
        </w:rPr>
        <w:t>‘</w:t>
      </w:r>
      <w:proofErr w:type="spellStart"/>
      <w:r w:rsidRPr="008C31AA">
        <w:rPr>
          <w:rFonts w:cs="Arial"/>
          <w:szCs w:val="24"/>
        </w:rPr>
        <w:t>No</w:t>
      </w:r>
      <w:proofErr w:type="spellEnd"/>
      <w:r w:rsidRPr="008C31AA">
        <w:rPr>
          <w:rFonts w:cs="Arial"/>
          <w:szCs w:val="24"/>
        </w:rPr>
        <w:t xml:space="preserve">, </w:t>
      </w:r>
      <w:proofErr w:type="spellStart"/>
      <w:r w:rsidRPr="008C31AA">
        <w:rPr>
          <w:rFonts w:cs="Arial"/>
          <w:szCs w:val="24"/>
        </w:rPr>
        <w:t>his</w:t>
      </w:r>
      <w:proofErr w:type="spellEnd"/>
      <w:r w:rsidRPr="008C31AA">
        <w:rPr>
          <w:rFonts w:cs="Arial"/>
          <w:szCs w:val="24"/>
        </w:rPr>
        <w:t xml:space="preserve"> </w:t>
      </w:r>
      <w:proofErr w:type="gramStart"/>
      <w:r w:rsidRPr="008C31AA">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8C31AA">
        <w:rPr>
          <w:rFonts w:cs="Arial"/>
          <w:szCs w:val="24"/>
        </w:rPr>
        <w:t xml:space="preserve"> </w:t>
      </w:r>
      <w:r w:rsidRPr="008C31AA">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8C31AA"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8C31AA">
        <w:rPr>
          <w:rFonts w:cs="Arial"/>
          <w:szCs w:val="24"/>
        </w:rPr>
        <w:t xml:space="preserve">B: </w:t>
      </w:r>
      <w:r w:rsidR="00EF6719" w:rsidRPr="008C31AA">
        <w:rPr>
          <w:rFonts w:cs="Arial"/>
          <w:szCs w:val="24"/>
        </w:rPr>
        <w:tab/>
        <w:t xml:space="preserve">Nein, seinem </w:t>
      </w:r>
      <w:r w:rsidR="00727003" w:rsidRPr="008C31AA">
        <w:rPr>
          <w:rFonts w:cs="Arial"/>
          <w:szCs w:val="24"/>
        </w:rPr>
        <w:t>Vater</w:t>
      </w:r>
      <w:r w:rsidR="00EF6719" w:rsidRPr="008C31AA">
        <w:rPr>
          <w:rFonts w:cs="Arial"/>
          <w:szCs w:val="24"/>
        </w:rPr>
        <w:t>.</w:t>
      </w:r>
    </w:p>
    <w:p w14:paraId="13389E13" w14:textId="1B48E500" w:rsidR="00EF6719" w:rsidRPr="008C31AA" w:rsidRDefault="00354577" w:rsidP="00EF6719">
      <w:pPr>
        <w:pStyle w:val="Listenabsatz"/>
        <w:suppressLineNumbers/>
        <w:spacing w:after="0" w:line="240" w:lineRule="auto"/>
        <w:ind w:left="1134"/>
        <w:jc w:val="both"/>
        <w:rPr>
          <w:rFonts w:cs="Arial"/>
          <w:szCs w:val="24"/>
        </w:rPr>
      </w:pPr>
      <w:r w:rsidRPr="008C31AA">
        <w:rPr>
          <w:rFonts w:cs="Arial"/>
          <w:szCs w:val="24"/>
        </w:rPr>
        <w:t xml:space="preserve"> </w:t>
      </w:r>
      <w:r w:rsidRPr="008C31AA">
        <w:rPr>
          <w:rFonts w:cs="Arial"/>
          <w:szCs w:val="24"/>
        </w:rPr>
        <w:tab/>
      </w:r>
      <w:r w:rsidR="00EF6719" w:rsidRPr="008C31AA">
        <w:rPr>
          <w:rFonts w:cs="Arial"/>
          <w:szCs w:val="24"/>
        </w:rPr>
        <w:t>‘</w:t>
      </w:r>
      <w:proofErr w:type="spellStart"/>
      <w:r w:rsidR="00EF6719" w:rsidRPr="008C31AA">
        <w:rPr>
          <w:rFonts w:cs="Arial"/>
          <w:szCs w:val="24"/>
        </w:rPr>
        <w:t>No</w:t>
      </w:r>
      <w:proofErr w:type="spellEnd"/>
      <w:r w:rsidR="00EF6719" w:rsidRPr="008C31AA">
        <w:rPr>
          <w:rFonts w:cs="Arial"/>
          <w:szCs w:val="24"/>
        </w:rPr>
        <w:t xml:space="preserve">, </w:t>
      </w:r>
      <w:proofErr w:type="spellStart"/>
      <w:r w:rsidR="00EF6719" w:rsidRPr="008C31AA">
        <w:rPr>
          <w:rFonts w:cs="Arial"/>
          <w:szCs w:val="24"/>
        </w:rPr>
        <w:t>his</w:t>
      </w:r>
      <w:proofErr w:type="spellEnd"/>
      <w:r w:rsidR="00EF6719" w:rsidRPr="008C31AA">
        <w:rPr>
          <w:rFonts w:cs="Arial"/>
          <w:szCs w:val="24"/>
        </w:rPr>
        <w:t xml:space="preserve"> </w:t>
      </w:r>
      <w:proofErr w:type="spellStart"/>
      <w:proofErr w:type="gramStart"/>
      <w:r w:rsidR="00727003" w:rsidRPr="008C31AA">
        <w:rPr>
          <w:rFonts w:cs="Arial"/>
          <w:szCs w:val="24"/>
        </w:rPr>
        <w:t>father</w:t>
      </w:r>
      <w:proofErr w:type="spellEnd"/>
      <w:r w:rsidR="00EF6719" w:rsidRPr="008C31AA">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lastRenderedPageBreak/>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43673227"/>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295634FA" w:rsidR="009B4265"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 xml:space="preserve">s has emphasized the need for more reliable </w:t>
      </w:r>
      <w:r>
        <w:rPr>
          <w:lang w:val="en-US"/>
        </w:rPr>
        <w:lastRenderedPageBreak/>
        <w:t>data obtained by scientific standards. The present study will provide such</w:t>
      </w:r>
      <w:r w:rsidR="00F459DE">
        <w:rPr>
          <w:lang w:val="en-US"/>
        </w:rPr>
        <w:t xml:space="preserve"> formally obtained</w:t>
      </w:r>
      <w:r>
        <w:rPr>
          <w:lang w:val="en-US"/>
        </w:rPr>
        <w:t xml:space="preserve"> data.</w:t>
      </w:r>
    </w:p>
    <w:p w14:paraId="2C8770DE" w14:textId="3648DE55"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w:t>
      </w:r>
      <w:r w:rsidR="00672CAA">
        <w:rPr>
          <w:lang w:val="en-US"/>
        </w:rPr>
        <w:t>judgment</w:t>
      </w:r>
      <w:r w:rsidRPr="00472776">
        <w:rPr>
          <w:lang w:val="en-US"/>
        </w:rPr>
        <w:t xml:space="preserve">s about </w:t>
      </w:r>
      <w:r w:rsidR="001D6867">
        <w:rPr>
          <w:lang w:val="en-US"/>
        </w:rPr>
        <w:t xml:space="preserve">contrastive </w:t>
      </w:r>
      <w:r w:rsidRPr="00472776">
        <w:rPr>
          <w:lang w:val="en-US"/>
        </w:rPr>
        <w:t xml:space="preserve">fragments. By determining the best medium for reliably obtaining these </w:t>
      </w:r>
      <w:r w:rsidR="00672CAA">
        <w:rPr>
          <w:lang w:val="en-US"/>
        </w:rPr>
        <w:t>judgment</w:t>
      </w:r>
      <w:r w:rsidRPr="00472776">
        <w:rPr>
          <w:lang w:val="en-US"/>
        </w:rPr>
        <w:t xml:space="preserve">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43673228"/>
      <w:r w:rsidRPr="0099716C">
        <w:t>1.4 Scope and limitations</w:t>
      </w:r>
      <w:bookmarkEnd w:id="5"/>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w:t>
      </w:r>
      <w:r w:rsidRPr="009719AA">
        <w:rPr>
          <w:rFonts w:eastAsia="Times New Roman" w:cs="Arial"/>
          <w:szCs w:val="24"/>
          <w:lang w:val="en-US" w:eastAsia="de-DE"/>
        </w:rPr>
        <w:lastRenderedPageBreak/>
        <w:t>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673229"/>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7" w:name="_Toc143673230"/>
      <w:r>
        <w:t>2.</w:t>
      </w:r>
      <w:r w:rsidR="00B740EC">
        <w:t>1</w:t>
      </w:r>
      <w:r>
        <w:t xml:space="preserve"> </w:t>
      </w:r>
      <w:r w:rsidR="00E75ED2" w:rsidRPr="00F818EF">
        <w:t>Fragment</w:t>
      </w:r>
      <w:r w:rsidR="00D35B6C" w:rsidRPr="00F818EF">
        <w:t xml:space="preserve"> theory and its linguistic foundations</w:t>
      </w:r>
      <w:bookmarkEnd w:id="7"/>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lastRenderedPageBreak/>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8" w:name="_Toc143673231"/>
      <w:r>
        <w:t>2.</w:t>
      </w:r>
      <w:r w:rsidR="00B740EC">
        <w:t>2</w:t>
      </w:r>
      <w:r>
        <w:t xml:space="preserve"> Contrastive </w:t>
      </w:r>
      <w:r w:rsidR="00A2533A">
        <w:t>f</w:t>
      </w:r>
      <w:r>
        <w:t>ocus</w:t>
      </w:r>
      <w:bookmarkEnd w:id="8"/>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03CFA7C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9805E6">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w:t>
      </w:r>
      <w:r w:rsidR="009D05DF">
        <w:rPr>
          <w:rFonts w:cs="Arial"/>
          <w:szCs w:val="24"/>
          <w:lang w:val="en-US"/>
        </w:rPr>
        <w:lastRenderedPageBreak/>
        <w:t xml:space="preserve">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72ECE102"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9805E6">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9" w:name="_Toc143673232"/>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w:t>
      </w:r>
      <w:r>
        <w:rPr>
          <w:lang w:val="en-US"/>
        </w:rPr>
        <w:lastRenderedPageBreak/>
        <w:t>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lastRenderedPageBreak/>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9DEDDEA"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437E6F14" w:rsidR="00317389" w:rsidRDefault="00886650" w:rsidP="00BA4304">
      <w:pPr>
        <w:suppressLineNumbers/>
        <w:spacing w:after="0" w:line="360" w:lineRule="auto"/>
        <w:jc w:val="both"/>
        <w:rPr>
          <w:lang w:val="en-US"/>
        </w:rPr>
      </w:pPr>
      <w:r>
        <w:rPr>
          <w:lang w:val="en-US"/>
        </w:rPr>
        <w:lastRenderedPageBreak/>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9805E6">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37C00E49"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9805E6">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However, the role of orthographic marking on the comprehension of ellipsis has not been studied so far.</w:t>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 xml:space="preserve">hypothesize significant differences comparing </w:t>
      </w:r>
      <w:r w:rsidR="00F057C3">
        <w:rPr>
          <w:rFonts w:cs="Arial"/>
          <w:szCs w:val="24"/>
          <w:lang w:val="en-US"/>
        </w:rPr>
        <w:lastRenderedPageBreak/>
        <w:t>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1F7438F0"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In an eye-movement study, Roussel et al. (2018) 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9805E6">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 xml:space="preserve">In the context of this current investigation, participants will be exposed to conversations containing both lexical and functional fragments, with the </w:t>
      </w:r>
      <w:r w:rsidRPr="0054075F">
        <w:rPr>
          <w:lang w:val="en-US"/>
        </w:rPr>
        <w:lastRenderedPageBreak/>
        <w:t>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0" w:name="_Toc143673233"/>
      <w:r>
        <w:t>2.</w:t>
      </w:r>
      <w:r w:rsidR="00B740EC">
        <w:t>4</w:t>
      </w:r>
      <w:r>
        <w:t xml:space="preserve"> Acceptability </w:t>
      </w:r>
      <w:r w:rsidR="00672CAA">
        <w:t>judgment</w:t>
      </w:r>
      <w:r>
        <w:t xml:space="preserve"> tasks in linguistics</w:t>
      </w:r>
      <w:bookmarkEnd w:id="10"/>
    </w:p>
    <w:p w14:paraId="42EA1270" w14:textId="06F11C66"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s were initially suggested as a substitute for assessing grammaticalness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42A23994"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are conducted to investigate the syntactic structures of a language, the term </w:t>
      </w:r>
      <w:r>
        <w:rPr>
          <w:i/>
          <w:lang w:val="en-US"/>
        </w:rPr>
        <w:t xml:space="preserve">grammaticality </w:t>
      </w:r>
      <w:r w:rsidR="00672CAA">
        <w:rPr>
          <w:i/>
          <w:lang w:val="en-US"/>
        </w:rPr>
        <w:t>judgment</w:t>
      </w:r>
      <w:r>
        <w:rPr>
          <w:i/>
          <w:lang w:val="en-US"/>
        </w:rPr>
        <w:t xml:space="preserve">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6000AE95"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w:t>
      </w:r>
      <w:r w:rsidR="00672CAA">
        <w:rPr>
          <w:lang w:val="en-US"/>
        </w:rPr>
        <w:t>judgment</w:t>
      </w:r>
      <w:r>
        <w:rPr>
          <w:lang w:val="en-US"/>
        </w:rPr>
        <w:t xml:space="preserve">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w:t>
      </w:r>
      <w:r w:rsidR="00672CAA">
        <w:rPr>
          <w:lang w:val="en-US"/>
        </w:rPr>
        <w:t>judgment</w:t>
      </w:r>
      <w:r>
        <w:rPr>
          <w:lang w:val="en-US"/>
        </w:rPr>
        <w:t xml:space="preserve">,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 xml:space="preserve">it allows for statistical analysis of the </w:t>
      </w:r>
      <w:r w:rsidR="00672CAA">
        <w:rPr>
          <w:lang w:val="en-US"/>
        </w:rPr>
        <w:t>judgment</w:t>
      </w:r>
      <w:r w:rsidRPr="0039182F">
        <w:rPr>
          <w:lang w:val="en-US"/>
        </w:rPr>
        <w:t>s</w:t>
      </w:r>
      <w:r>
        <w:rPr>
          <w:lang w:val="en-US"/>
        </w:rPr>
        <w:t>, including</w:t>
      </w:r>
      <w:r w:rsidRPr="0039182F">
        <w:rPr>
          <w:lang w:val="en-US"/>
        </w:rPr>
        <w:t xml:space="preserve"> includes calculating sample means, </w:t>
      </w:r>
      <w:r w:rsidRPr="0039182F">
        <w:rPr>
          <w:lang w:val="en-US"/>
        </w:rPr>
        <w:lastRenderedPageBreak/>
        <w:t>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3DC483E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w:t>
      </w:r>
      <w:r w:rsidR="00BD06B1">
        <w:rPr>
          <w:lang w:val="en-US"/>
        </w:rPr>
        <w:t>3</w:t>
      </w:r>
      <w:r w:rsidR="000C531E">
        <w:rPr>
          <w:lang w:val="en-US"/>
        </w:rPr>
        <w:t>.</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w:t>
      </w:r>
      <w:r w:rsidR="000C531E">
        <w:rPr>
          <w:lang w:val="en-US"/>
        </w:rPr>
        <w:lastRenderedPageBreak/>
        <w:t>it might be that a significant difference in the mode of stimuli can be found in the present study. For a justification of the present methodology, see chapter 3.1.</w:t>
      </w:r>
    </w:p>
    <w:p w14:paraId="26B21711" w14:textId="3D264F0A"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673234"/>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099CBBE8"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357D15">
        <w:rPr>
          <w:lang w:val="en-US"/>
        </w:rPr>
        <w:t>Moreover,</w:t>
      </w:r>
      <w:r w:rsidRPr="00B34637">
        <w:rPr>
          <w:lang w:val="en-US"/>
        </w:rPr>
        <w:t xml:space="preserve"> the rationale, procedures, and considerations involved in each aspect</w:t>
      </w:r>
      <w:r w:rsidR="00357D15">
        <w:rPr>
          <w:lang w:val="en-US"/>
        </w:rPr>
        <w:t xml:space="preserve"> are discussed</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12" w:name="_Toc143673235"/>
      <w:r>
        <w:t>3.1 Study design</w:t>
      </w:r>
      <w:bookmarkEnd w:id="12"/>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w:t>
      </w:r>
      <w:r w:rsidR="00F23364" w:rsidRPr="00F23364">
        <w:rPr>
          <w:lang w:val="en-US"/>
        </w:rPr>
        <w:lastRenderedPageBreak/>
        <w:t xml:space="preserve">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7E20A5E7"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w:t>
      </w:r>
      <w:r w:rsidR="00672CAA">
        <w:rPr>
          <w:lang w:val="en-US"/>
        </w:rPr>
        <w:t>judgment</w:t>
      </w:r>
      <w:r w:rsidR="00F1436A" w:rsidRPr="00F1436A">
        <w:rPr>
          <w:lang w:val="en-US"/>
        </w:rPr>
        <w:t xml:space="preserve">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inclusion of auditory stimuli </w:t>
      </w:r>
      <w:r w:rsidR="00836C6F">
        <w:rPr>
          <w:rFonts w:eastAsia="Times New Roman" w:cs="Arial"/>
          <w:szCs w:val="24"/>
          <w:lang w:val="en-US"/>
        </w:rPr>
        <w:t>enables the</w:t>
      </w:r>
      <w:r w:rsidR="00F1436A" w:rsidRPr="00C7499C">
        <w:rPr>
          <w:rFonts w:eastAsia="Times New Roman" w:cs="Arial"/>
          <w:szCs w:val="24"/>
          <w:lang w:val="en-US"/>
        </w:rPr>
        <w:t xml:space="preserve"> capture</w:t>
      </w:r>
      <w:r w:rsidR="00836C6F">
        <w:rPr>
          <w:rFonts w:eastAsia="Times New Roman" w:cs="Arial"/>
          <w:szCs w:val="24"/>
          <w:lang w:val="en-US"/>
        </w:rPr>
        <w:t xml:space="preserve"> of</w:t>
      </w:r>
      <w:r w:rsidR="00F1436A" w:rsidRPr="00C7499C">
        <w:rPr>
          <w:rFonts w:eastAsia="Times New Roman" w:cs="Arial"/>
          <w:szCs w:val="24"/>
          <w:lang w:val="en-US"/>
        </w:rPr>
        <w:t xml:space="preserv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w:t>
      </w:r>
      <w:r w:rsidR="00836C6F" w:rsidRPr="00836C6F">
        <w:rPr>
          <w:lang w:val="en-US"/>
        </w:rPr>
        <w:t>By introducing participants to auditory stimuli, a more ecologically valid depiction of these linguistic cues is offered in contrast to relying solely on written stimuli.</w:t>
      </w:r>
      <w:r w:rsidR="00836C6F">
        <w:rPr>
          <w:lang w:val="en-US"/>
        </w:rPr>
        <w:t xml:space="preserve"> </w:t>
      </w:r>
      <w:r w:rsidR="00F1436A">
        <w:rPr>
          <w:rFonts w:eastAsia="Times New Roman" w:cs="Arial"/>
          <w:szCs w:val="24"/>
          <w:lang w:val="en-US"/>
        </w:rPr>
        <w:t>Third</w:t>
      </w:r>
      <w:r w:rsidR="00F1436A" w:rsidRPr="00C7499C">
        <w:rPr>
          <w:rFonts w:eastAsia="Times New Roman" w:cs="Arial"/>
          <w:szCs w:val="24"/>
          <w:lang w:val="en-US"/>
        </w:rPr>
        <w:t xml:space="preserve">, including written stimuli alongside auditory ones </w:t>
      </w:r>
      <w:r w:rsidR="00836C6F">
        <w:rPr>
          <w:rFonts w:eastAsia="Times New Roman" w:cs="Arial"/>
          <w:szCs w:val="24"/>
          <w:lang w:val="en-US"/>
        </w:rPr>
        <w:t>enables the exploration of</w:t>
      </w:r>
      <w:r w:rsidR="00F1436A" w:rsidRPr="00C7499C">
        <w:rPr>
          <w:rFonts w:eastAsia="Times New Roman" w:cs="Arial"/>
          <w:szCs w:val="24"/>
          <w:lang w:val="en-US"/>
        </w:rPr>
        <w:t xml:space="preserve"> potential differences or convergences in acceptability </w:t>
      </w:r>
      <w:r w:rsidR="00672CAA">
        <w:rPr>
          <w:rFonts w:eastAsia="Times New Roman" w:cs="Arial"/>
          <w:szCs w:val="24"/>
          <w:lang w:val="en-US"/>
        </w:rPr>
        <w:t>judgment</w:t>
      </w:r>
      <w:r w:rsidR="00F1436A" w:rsidRPr="00C7499C">
        <w:rPr>
          <w:rFonts w:eastAsia="Times New Roman" w:cs="Arial"/>
          <w:szCs w:val="24"/>
          <w:lang w:val="en-US"/>
        </w:rPr>
        <w: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4F9EB04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w:t>
      </w:r>
      <w:r w:rsidR="00390006">
        <w:rPr>
          <w:rFonts w:cs="Arial"/>
          <w:szCs w:val="24"/>
          <w:lang w:val="en-US"/>
        </w:rPr>
        <w:lastRenderedPageBreak/>
        <w:t>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197C71AB"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t>
      </w:r>
      <w:r w:rsidR="00DC597F">
        <w:rPr>
          <w:rFonts w:cs="Arial"/>
          <w:szCs w:val="24"/>
          <w:lang w:val="en-US"/>
        </w:rPr>
        <w:lastRenderedPageBreak/>
        <w:t xml:space="preserve">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C195897" w:rsidR="00315AD4"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and native language or native 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 xml:space="preserve">approximately </w:t>
      </w:r>
      <w:r w:rsidR="00DE53D4">
        <w:rPr>
          <w:rFonts w:cs="Arial"/>
          <w:szCs w:val="24"/>
          <w:lang w:val="en-US"/>
        </w:rPr>
        <w:t>10 minutes.</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13" w:name="_Toc143673236"/>
      <w:r>
        <w:t>3.</w:t>
      </w:r>
      <w:r w:rsidR="00D95680">
        <w:t>2</w:t>
      </w:r>
      <w:r>
        <w:t xml:space="preserve"> </w:t>
      </w:r>
      <w:r w:rsidR="00CD6298">
        <w:t xml:space="preserve">Selection of </w:t>
      </w:r>
      <w:r w:rsidR="00C421A5">
        <w:t>critical and filler items</w:t>
      </w:r>
      <w:bookmarkEnd w:id="13"/>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4"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805E6"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9805E6">
        <w:rPr>
          <w:rFonts w:cs="Arial"/>
          <w:iCs/>
          <w:szCs w:val="24"/>
          <w:lang w:val="en-US"/>
        </w:rPr>
        <w:t xml:space="preserve">B: </w:t>
      </w:r>
      <w:r w:rsidR="00BE12F2" w:rsidRPr="009805E6">
        <w:rPr>
          <w:rFonts w:cs="Arial"/>
          <w:iCs/>
          <w:szCs w:val="24"/>
          <w:lang w:val="en-US"/>
        </w:rPr>
        <w:tab/>
        <w:t>Nein, BIS 18 Uhr.</w:t>
      </w:r>
    </w:p>
    <w:p w14:paraId="7D0F9FE3" w14:textId="333C5692" w:rsidR="00BE12F2" w:rsidRPr="009805E6" w:rsidRDefault="00BE12F2" w:rsidP="00BE12F2">
      <w:pPr>
        <w:pStyle w:val="Listenabsatz"/>
        <w:suppressLineNumbers/>
        <w:spacing w:after="0" w:line="240" w:lineRule="auto"/>
        <w:jc w:val="both"/>
        <w:rPr>
          <w:rFonts w:cs="Arial"/>
          <w:iCs/>
          <w:szCs w:val="24"/>
          <w:lang w:val="en-US"/>
        </w:rPr>
      </w:pPr>
      <w:r w:rsidRPr="009805E6">
        <w:rPr>
          <w:rFonts w:cs="Arial"/>
          <w:iCs/>
          <w:szCs w:val="24"/>
          <w:lang w:val="en-US"/>
        </w:rPr>
        <w:tab/>
      </w:r>
      <w:r w:rsidR="005F4914" w:rsidRPr="009805E6">
        <w:rPr>
          <w:rFonts w:cs="Arial"/>
          <w:iCs/>
          <w:szCs w:val="24"/>
          <w:lang w:val="en-US"/>
        </w:rPr>
        <w:t xml:space="preserve"> </w:t>
      </w:r>
      <w:r w:rsidR="005F4914" w:rsidRPr="009805E6">
        <w:rPr>
          <w:rFonts w:cs="Arial"/>
          <w:iCs/>
          <w:szCs w:val="24"/>
          <w:lang w:val="en-US"/>
        </w:rPr>
        <w:tab/>
      </w:r>
      <w:r w:rsidRPr="009805E6">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805E6" w:rsidRDefault="00BE12F2" w:rsidP="005F4914">
      <w:pPr>
        <w:pStyle w:val="Listenabsatz"/>
        <w:suppressLineNumbers/>
        <w:spacing w:after="0" w:line="240" w:lineRule="auto"/>
        <w:ind w:firstLine="414"/>
        <w:jc w:val="both"/>
        <w:rPr>
          <w:rFonts w:cs="Arial"/>
          <w:iCs/>
          <w:szCs w:val="24"/>
          <w:lang w:val="en-US"/>
        </w:rPr>
      </w:pPr>
      <w:r w:rsidRPr="009805E6">
        <w:rPr>
          <w:rFonts w:cs="Arial"/>
          <w:iCs/>
          <w:szCs w:val="24"/>
          <w:lang w:val="en-US"/>
        </w:rPr>
        <w:t xml:space="preserve">B: </w:t>
      </w:r>
      <w:r w:rsidRPr="009805E6">
        <w:rPr>
          <w:rFonts w:cs="Arial"/>
          <w:iCs/>
          <w:szCs w:val="24"/>
          <w:lang w:val="en-US"/>
        </w:rPr>
        <w:tab/>
        <w:t xml:space="preserve">Nein, </w:t>
      </w:r>
      <w:r w:rsidR="00084902" w:rsidRPr="009805E6">
        <w:rPr>
          <w:rFonts w:cs="Arial"/>
          <w:iCs/>
          <w:szCs w:val="24"/>
          <w:lang w:val="en-US"/>
        </w:rPr>
        <w:t>bis</w:t>
      </w:r>
      <w:r w:rsidRPr="009805E6">
        <w:rPr>
          <w:rFonts w:cs="Arial"/>
          <w:iCs/>
          <w:szCs w:val="24"/>
          <w:lang w:val="en-US"/>
        </w:rPr>
        <w:t xml:space="preserve"> 18 Uhr.</w:t>
      </w:r>
    </w:p>
    <w:p w14:paraId="2C0D4EC3" w14:textId="434FDEEE" w:rsidR="00BE12F2" w:rsidRPr="009805E6" w:rsidRDefault="00BE12F2" w:rsidP="00BE12F2">
      <w:pPr>
        <w:pStyle w:val="Listenabsatz"/>
        <w:suppressLineNumbers/>
        <w:spacing w:after="0" w:line="240" w:lineRule="auto"/>
        <w:jc w:val="both"/>
        <w:rPr>
          <w:rFonts w:cs="Arial"/>
          <w:iCs/>
          <w:szCs w:val="24"/>
          <w:lang w:val="en-US"/>
        </w:rPr>
      </w:pPr>
      <w:r w:rsidRPr="009805E6">
        <w:rPr>
          <w:rFonts w:cs="Arial"/>
          <w:iCs/>
          <w:szCs w:val="24"/>
          <w:lang w:val="en-US"/>
        </w:rPr>
        <w:tab/>
      </w:r>
      <w:r w:rsidR="005F4914" w:rsidRPr="009805E6">
        <w:rPr>
          <w:rFonts w:cs="Arial"/>
          <w:iCs/>
          <w:szCs w:val="24"/>
          <w:lang w:val="en-US"/>
        </w:rPr>
        <w:t xml:space="preserve"> </w:t>
      </w:r>
      <w:r w:rsidR="005F4914" w:rsidRPr="009805E6">
        <w:rPr>
          <w:rFonts w:cs="Arial"/>
          <w:iCs/>
          <w:szCs w:val="24"/>
          <w:lang w:val="en-US"/>
        </w:rPr>
        <w:tab/>
      </w:r>
      <w:r w:rsidRPr="009805E6">
        <w:rPr>
          <w:rFonts w:cs="Arial"/>
          <w:iCs/>
          <w:szCs w:val="24"/>
          <w:lang w:val="en-US"/>
        </w:rPr>
        <w:t xml:space="preserve">‘No, </w:t>
      </w:r>
      <w:r w:rsidR="00084902" w:rsidRPr="009805E6">
        <w:rPr>
          <w:rFonts w:cs="Arial"/>
          <w:iCs/>
          <w:szCs w:val="24"/>
          <w:lang w:val="en-US"/>
        </w:rPr>
        <w:t>until</w:t>
      </w:r>
      <w:r w:rsidRPr="009805E6">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lastRenderedPageBreak/>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61A45A7"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t>unbiased research</w:t>
      </w:r>
      <w:r w:rsidR="00DF6B06">
        <w:rPr>
          <w:lang w:val="en-US"/>
        </w:rPr>
        <w:t xml:space="preserve"> on contrastive focus, only the indirect object, that precedes the direct object, was chosen for the contrastive focus in the </w:t>
      </w:r>
      <w:r w:rsidR="0042330B">
        <w:rPr>
          <w:lang w:val="en-US"/>
        </w:rPr>
        <w:t xml:space="preserve">allow for </w:t>
      </w:r>
      <w:proofErr w:type="gramStart"/>
      <w:r w:rsidR="0042330B">
        <w:rPr>
          <w:lang w:val="en-US"/>
        </w:rPr>
        <w:t>an unbiased research</w:t>
      </w:r>
      <w:proofErr w:type="gramEnd"/>
      <w:r w:rsidR="0042330B">
        <w:rPr>
          <w:lang w:val="en-US"/>
        </w:rPr>
        <w:t xml:space="preserve">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 xml:space="preserve">the sentences were created in such a way that stimuli with lexical fragments include ditransitive verbs, while stimuli with functional fragments, </w:t>
      </w:r>
      <w:r w:rsidR="00440AF9">
        <w:rPr>
          <w:rFonts w:cs="Arial"/>
          <w:szCs w:val="24"/>
          <w:lang w:val="en-US"/>
        </w:rPr>
        <w:lastRenderedPageBreak/>
        <w:t>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63608FB7"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14" w:name="_Toc143673237"/>
      <w:r>
        <w:t>3.3 Recording of stimuli</w:t>
      </w:r>
      <w:bookmarkEnd w:id="14"/>
    </w:p>
    <w:p w14:paraId="1771B87E" w14:textId="36CE108C" w:rsidR="00CD6298" w:rsidRPr="003746D8" w:rsidRDefault="00357D15" w:rsidP="00D95680">
      <w:pPr>
        <w:spacing w:after="0" w:line="360" w:lineRule="auto"/>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critical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lastRenderedPageBreak/>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5E85F3E3" w:rsidR="00FA0BD8" w:rsidRPr="00FA0BD8" w:rsidRDefault="00FA0BD8" w:rsidP="009B12CA">
      <w:pPr>
        <w:pStyle w:val="Beschriftung"/>
        <w:framePr w:w="7758" w:wrap="around" w:y="2"/>
        <w:rPr>
          <w:b/>
          <w:lang w:val="en-US"/>
        </w:rPr>
      </w:pPr>
      <w:bookmarkStart w:id="15" w:name="_Toc139031147"/>
      <w:bookmarkStart w:id="16" w:name="_Toc139181603"/>
      <w:bookmarkStart w:id="17" w:name="_Toc143682862"/>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5AC5BA98" w:rsidR="00361B94" w:rsidRPr="00FA0BD8" w:rsidRDefault="00FA0BD8" w:rsidP="009B12CA">
      <w:pPr>
        <w:pStyle w:val="Beschriftung"/>
        <w:framePr w:w="7617" w:wrap="around"/>
        <w:rPr>
          <w:lang w:val="en-US"/>
        </w:rPr>
      </w:pPr>
      <w:bookmarkStart w:id="18" w:name="_Toc139031148"/>
      <w:bookmarkStart w:id="19" w:name="_Toc139181604"/>
      <w:bookmarkStart w:id="20" w:name="_Toc143682863"/>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2C9C0C5B"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7"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8"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21" w:name="_Toc143673238"/>
      <w:r>
        <w:lastRenderedPageBreak/>
        <w:t>3.</w:t>
      </w:r>
      <w:r w:rsidR="00D95680">
        <w:t>4</w:t>
      </w:r>
      <w:r>
        <w:t xml:space="preserve"> Data collection</w:t>
      </w:r>
      <w:bookmarkEnd w:id="21"/>
    </w:p>
    <w:p w14:paraId="104C2DCF" w14:textId="3F1A51D8"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357D15">
        <w:rPr>
          <w:lang w:val="en-US"/>
        </w:rPr>
        <w:t>T</w:t>
      </w:r>
      <w:r w:rsidRPr="0088143E">
        <w:rPr>
          <w:lang w:val="en-US"/>
        </w:rPr>
        <w:t xml:space="preserve">he methods employed to obtain these </w:t>
      </w:r>
      <w:r w:rsidR="00672CAA">
        <w:rPr>
          <w:lang w:val="en-US"/>
        </w:rPr>
        <w:t>judgment</w:t>
      </w:r>
      <w:r w:rsidRPr="0088143E">
        <w:rPr>
          <w:lang w:val="en-US"/>
        </w:rPr>
        <w:t xml:space="preserve">s, including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31DF68CE"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5A73EB46" w:rsidR="009B3587" w:rsidRDefault="006822D3" w:rsidP="00DA25D1">
      <w:pPr>
        <w:spacing w:after="0" w:line="360" w:lineRule="auto"/>
        <w:jc w:val="both"/>
        <w:rPr>
          <w:lang w:val="en-US"/>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w:t>
      </w:r>
      <w:r w:rsidR="00B8455D">
        <w:rPr>
          <w:lang w:val="en-US"/>
        </w:rPr>
        <w:lastRenderedPageBreak/>
        <w:t>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t>
      </w:r>
      <w:proofErr w:type="gramStart"/>
      <w:r w:rsidRPr="00FC624D">
        <w:rPr>
          <w:lang w:val="en-US"/>
        </w:rPr>
        <w:t>With the exception of</w:t>
      </w:r>
      <w:proofErr w:type="gramEnd"/>
      <w:r w:rsidRPr="00FC624D">
        <w:rPr>
          <w:lang w:val="en-US"/>
        </w:rPr>
        <w:t xml:space="preserve">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22" w:name="_Toc143673239"/>
      <w:r>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67324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24" w:name="_Toc143673241"/>
      <w:r>
        <w:t xml:space="preserve">4.1 </w:t>
      </w:r>
      <w:r w:rsidR="00515D1E">
        <w:t xml:space="preserve">Raw data </w:t>
      </w:r>
      <w:r w:rsidR="00763067">
        <w:t>presentation</w:t>
      </w:r>
      <w:bookmarkEnd w:id="24"/>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F83D9F7" w:rsidR="0091460C" w:rsidRPr="00EB7F53" w:rsidRDefault="00EB7F53" w:rsidP="00EB7F53">
      <w:pPr>
        <w:pStyle w:val="Beschriftung"/>
        <w:framePr w:wrap="around"/>
        <w:rPr>
          <w:rFonts w:cs="Arial"/>
          <w:szCs w:val="24"/>
          <w:lang w:val="en-US"/>
        </w:rPr>
      </w:pPr>
      <w:bookmarkStart w:id="25" w:name="_Toc143682864"/>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805E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2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20"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A844E2A" w:rsidR="007E6DFD" w:rsidRPr="007E6DFD" w:rsidRDefault="007E6DFD" w:rsidP="007E6DFD">
      <w:pPr>
        <w:pStyle w:val="Beschriftung"/>
        <w:framePr w:wrap="around"/>
        <w:rPr>
          <w:lang w:val="en-US"/>
        </w:rPr>
      </w:pPr>
      <w:bookmarkStart w:id="26" w:name="_Toc143682865"/>
      <w:r w:rsidRPr="007E6DFD">
        <w:rPr>
          <w:lang w:val="en-US"/>
        </w:rPr>
        <w:t xml:space="preserve">Figure </w:t>
      </w:r>
      <w:r>
        <w:fldChar w:fldCharType="begin"/>
      </w:r>
      <w:r w:rsidRPr="007E6DFD">
        <w:rPr>
          <w:lang w:val="en-US"/>
        </w:rPr>
        <w:instrText xml:space="preserve"> SEQ Figure \* ARABIC </w:instrText>
      </w:r>
      <w:r>
        <w:fldChar w:fldCharType="separate"/>
      </w:r>
      <w:r w:rsidR="009805E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2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5AFB9427"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836C6F" w:rsidRPr="00836C6F">
        <w:rPr>
          <w:lang w:val="en-US"/>
        </w:rPr>
        <w:t>while evaluating the influence of the studied factor, a significant divergence in participant responses becomes evident, especially for sentences that received ratings other than 7 (full naturalness).</w:t>
      </w:r>
      <w:r w:rsidR="00C20489" w:rsidRPr="00C20489">
        <w:rPr>
          <w:lang w:val="en-US"/>
        </w:rPr>
        <w:t xml:space="preserve"> This differentiation highlights the influence of the investigated factor on participants' acceptability </w:t>
      </w:r>
      <w:r w:rsidR="00672CAA">
        <w:rPr>
          <w:lang w:val="en-US"/>
        </w:rPr>
        <w:t>judgment</w:t>
      </w:r>
      <w:r w:rsidR="00C20489" w:rsidRPr="00C20489">
        <w:rPr>
          <w:lang w:val="en-US"/>
        </w:rPr>
        <w: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27" w:name="_Toc143673242"/>
      <w:r>
        <w:lastRenderedPageBreak/>
        <w:t>4.2 Analysis</w:t>
      </w:r>
      <w:r w:rsidR="00763067">
        <w:t xml:space="preserve"> methods</w:t>
      </w:r>
      <w:bookmarkEnd w:id="27"/>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8DB186" w:rsidR="0091460C" w:rsidRPr="006042A0" w:rsidRDefault="00F05839" w:rsidP="00F05839">
      <w:pPr>
        <w:pStyle w:val="Beschriftung"/>
        <w:framePr w:wrap="around"/>
        <w:rPr>
          <w:lang w:val="en-US"/>
        </w:rPr>
      </w:pPr>
      <w:bookmarkStart w:id="28" w:name="_Toc143682866"/>
      <w:r w:rsidRPr="00F05839">
        <w:rPr>
          <w:lang w:val="en-US"/>
        </w:rPr>
        <w:t xml:space="preserve">Figure </w:t>
      </w:r>
      <w:r>
        <w:fldChar w:fldCharType="begin"/>
      </w:r>
      <w:r w:rsidRPr="00F05839">
        <w:rPr>
          <w:lang w:val="en-US"/>
        </w:rPr>
        <w:instrText xml:space="preserve"> SEQ Figure \* ARABIC </w:instrText>
      </w:r>
      <w:r>
        <w:fldChar w:fldCharType="separate"/>
      </w:r>
      <w:r w:rsidR="009805E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2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E3ADD1F"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29" w:name="_Toc143673243"/>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2AF3366F" w:rsidR="00B55A63" w:rsidRDefault="009E2894" w:rsidP="009E2894">
      <w:pPr>
        <w:pStyle w:val="Beschriftung"/>
        <w:framePr w:wrap="around"/>
        <w:rPr>
          <w:rFonts w:cs="Arial"/>
          <w:szCs w:val="24"/>
          <w:lang w:val="en-US"/>
        </w:rPr>
      </w:pPr>
      <w:bookmarkStart w:id="30" w:name="_Toc143682867"/>
      <w:r w:rsidRPr="009E2894">
        <w:rPr>
          <w:lang w:val="en-US"/>
        </w:rPr>
        <w:t xml:space="preserve">Figure </w:t>
      </w:r>
      <w:r>
        <w:fldChar w:fldCharType="begin"/>
      </w:r>
      <w:r w:rsidRPr="009E2894">
        <w:rPr>
          <w:lang w:val="en-US"/>
        </w:rPr>
        <w:instrText xml:space="preserve"> SEQ Figure \* ARABIC </w:instrText>
      </w:r>
      <w:r>
        <w:fldChar w:fldCharType="separate"/>
      </w:r>
      <w:r w:rsidR="009805E6">
        <w:rPr>
          <w:noProof/>
          <w:lang w:val="en-US"/>
        </w:rPr>
        <w:t>6</w:t>
      </w:r>
      <w:r>
        <w:fldChar w:fldCharType="end"/>
      </w:r>
      <w:r w:rsidRPr="009E2894">
        <w:rPr>
          <w:lang w:val="en-US"/>
        </w:rPr>
        <w:t>: Comparison of participants' ratings of stimuli with and without emphasis</w:t>
      </w:r>
      <w:bookmarkEnd w:id="30"/>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950AB5" w:rsidR="00AA0CE6" w:rsidRDefault="00746153" w:rsidP="001A10B6">
      <w:pPr>
        <w:pStyle w:val="Beschriftung"/>
        <w:framePr w:w="7141" w:h="356" w:hRule="exact" w:wrap="around" w:y="6"/>
        <w:rPr>
          <w:rFonts w:cs="Arial"/>
          <w:szCs w:val="24"/>
          <w:lang w:val="en-US"/>
        </w:rPr>
      </w:pPr>
      <w:bookmarkStart w:id="31" w:name="_Toc143682868"/>
      <w:r w:rsidRPr="00746153">
        <w:rPr>
          <w:lang w:val="en-US"/>
        </w:rPr>
        <w:t xml:space="preserve">Figure </w:t>
      </w:r>
      <w:r>
        <w:fldChar w:fldCharType="begin"/>
      </w:r>
      <w:r w:rsidRPr="00746153">
        <w:rPr>
          <w:lang w:val="en-US"/>
        </w:rPr>
        <w:instrText xml:space="preserve"> SEQ Figure \* ARABIC </w:instrText>
      </w:r>
      <w:r>
        <w:fldChar w:fldCharType="separate"/>
      </w:r>
      <w:r w:rsidR="009805E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31"/>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4AECD0A0" w:rsidR="00B55A63" w:rsidRDefault="00093BA2" w:rsidP="001A10B6">
      <w:pPr>
        <w:pStyle w:val="Beschriftung"/>
        <w:framePr w:h="431" w:hRule="exact" w:wrap="around" w:y="5"/>
        <w:rPr>
          <w:rFonts w:cs="Arial"/>
          <w:szCs w:val="24"/>
          <w:lang w:val="en-US"/>
        </w:rPr>
      </w:pPr>
      <w:bookmarkStart w:id="32" w:name="_Toc143682869"/>
      <w:r w:rsidRPr="00093BA2">
        <w:rPr>
          <w:lang w:val="en-US"/>
        </w:rPr>
        <w:t xml:space="preserve">Figure </w:t>
      </w:r>
      <w:r>
        <w:fldChar w:fldCharType="begin"/>
      </w:r>
      <w:r w:rsidRPr="00093BA2">
        <w:rPr>
          <w:lang w:val="en-US"/>
        </w:rPr>
        <w:instrText xml:space="preserve"> SEQ Figure \* ARABIC </w:instrText>
      </w:r>
      <w:r>
        <w:fldChar w:fldCharType="separate"/>
      </w:r>
      <w:r w:rsidR="009805E6">
        <w:rPr>
          <w:noProof/>
          <w:lang w:val="en-US"/>
        </w:rPr>
        <w:t>8</w:t>
      </w:r>
      <w:r>
        <w:fldChar w:fldCharType="end"/>
      </w:r>
      <w:r w:rsidRPr="00093BA2">
        <w:rPr>
          <w:lang w:val="en-US"/>
        </w:rPr>
        <w:t>: Comparison of participants' ratings of stimuli with functional and lexical fragments.</w:t>
      </w:r>
      <w:bookmarkEnd w:id="32"/>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673244"/>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4" w:name="_Toc143673245"/>
      <w:r>
        <w:t>5.1 Interpretation of the findings</w:t>
      </w:r>
      <w:bookmarkEnd w:id="34"/>
    </w:p>
    <w:p w14:paraId="10DD8976" w14:textId="448EF4F5"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w:t>
      </w:r>
      <w:proofErr w:type="gramStart"/>
      <w:r w:rsidR="002F3950">
        <w:rPr>
          <w:rFonts w:cs="Arial"/>
          <w:szCs w:val="24"/>
          <w:lang w:val="en-US"/>
        </w:rPr>
        <w:t xml:space="preserve">the vast majority </w:t>
      </w:r>
      <w:r w:rsidR="002F56FC" w:rsidRPr="002F3950">
        <w:rPr>
          <w:rFonts w:cs="Arial"/>
          <w:szCs w:val="24"/>
          <w:lang w:val="en-US"/>
        </w:rPr>
        <w:t>of</w:t>
      </w:r>
      <w:proofErr w:type="gramEnd"/>
      <w:r w:rsidR="002F56FC" w:rsidRPr="002F3950">
        <w:rPr>
          <w:rFonts w:cs="Arial"/>
          <w:szCs w:val="24"/>
          <w:lang w:val="en-US"/>
        </w:rPr>
        <w:t xml:space="preserve">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w:t>
      </w:r>
      <w:r w:rsidR="00201CA6">
        <w:rPr>
          <w:rFonts w:cs="Arial"/>
          <w:szCs w:val="24"/>
          <w:lang w:val="en-US"/>
        </w:rPr>
        <w:t>.3</w:t>
      </w:r>
      <w:r w:rsidR="007678F8">
        <w:rPr>
          <w:rFonts w:cs="Arial"/>
          <w:szCs w:val="24"/>
          <w:lang w:val="en-US"/>
        </w:rPr>
        <w:t>,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7660FE9B" w14:textId="7E641D32" w:rsidR="006500A3" w:rsidRDefault="007678F8" w:rsidP="003E2F0E">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lastRenderedPageBreak/>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2DB77D50"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w:t>
      </w:r>
      <w:r w:rsidR="004F662F">
        <w:rPr>
          <w:lang w:val="en-US"/>
        </w:rPr>
        <w:lastRenderedPageBreak/>
        <w:t xml:space="preserve">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453F1FED" w:rsidR="004F662F" w:rsidRPr="004F662F" w:rsidRDefault="004F662F" w:rsidP="001A10B6">
      <w:pPr>
        <w:pStyle w:val="Beschriftung"/>
        <w:framePr w:w="7952" w:h="459" w:hRule="exact" w:wrap="around"/>
        <w:rPr>
          <w:lang w:val="en-US"/>
        </w:rPr>
      </w:pPr>
      <w:bookmarkStart w:id="35" w:name="_Toc143682870"/>
      <w:r w:rsidRPr="004F662F">
        <w:rPr>
          <w:lang w:val="en-US"/>
        </w:rPr>
        <w:t xml:space="preserve">Figure </w:t>
      </w:r>
      <w:r>
        <w:fldChar w:fldCharType="begin"/>
      </w:r>
      <w:r w:rsidRPr="004F662F">
        <w:rPr>
          <w:lang w:val="en-US"/>
        </w:rPr>
        <w:instrText xml:space="preserve"> SEQ Figure \* ARABIC </w:instrText>
      </w:r>
      <w:r>
        <w:fldChar w:fldCharType="separate"/>
      </w:r>
      <w:r w:rsidR="009805E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35"/>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xml:space="preserve">. This, in turn, adds a layer of complexity to making comparisons between </w:t>
      </w:r>
      <w:r w:rsidR="00A33903" w:rsidRPr="00A33903">
        <w:rPr>
          <w:lang w:val="en-US"/>
        </w:rPr>
        <w:lastRenderedPageBreak/>
        <w:t>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2C3755F4" w:rsidR="001A10B6" w:rsidRDefault="001A10B6" w:rsidP="001A10B6">
      <w:pPr>
        <w:pStyle w:val="Beschriftung"/>
        <w:framePr w:w="7601" w:h="431" w:hRule="exact" w:wrap="around" w:y="-3303"/>
        <w:rPr>
          <w:lang w:val="en-US"/>
        </w:rPr>
      </w:pPr>
      <w:bookmarkStart w:id="36" w:name="_Toc143682871"/>
      <w:r w:rsidRPr="000C3F1A">
        <w:rPr>
          <w:lang w:val="en-US"/>
        </w:rPr>
        <w:t xml:space="preserve">Figure </w:t>
      </w:r>
      <w:r>
        <w:fldChar w:fldCharType="begin"/>
      </w:r>
      <w:r w:rsidRPr="000C3F1A">
        <w:rPr>
          <w:lang w:val="en-US"/>
        </w:rPr>
        <w:instrText xml:space="preserve"> SEQ Figure \* ARABIC </w:instrText>
      </w:r>
      <w:r>
        <w:fldChar w:fldCharType="separate"/>
      </w:r>
      <w:r w:rsidR="009805E6">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36"/>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0F8099C0"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proofErr w:type="gramStart"/>
      <w:r w:rsidRPr="00A538C1">
        <w:rPr>
          <w:rFonts w:eastAsia="Times New Roman" w:cs="Arial"/>
          <w:szCs w:val="24"/>
          <w:lang w:val="en-US"/>
        </w:rPr>
        <w:t>were well aware that</w:t>
      </w:r>
      <w:proofErr w:type="gramEnd"/>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0AE99E9C" w14:textId="77777777" w:rsidR="008B41A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p>
    <w:p w14:paraId="15729CCB" w14:textId="77777777" w:rsidR="008B41A2" w:rsidRDefault="008B41A2" w:rsidP="00DE13B2">
      <w:pPr>
        <w:suppressLineNumbers/>
        <w:spacing w:after="0" w:line="360" w:lineRule="auto"/>
        <w:jc w:val="both"/>
        <w:rPr>
          <w:rFonts w:cs="Arial"/>
          <w:szCs w:val="24"/>
          <w:lang w:val="en-US"/>
        </w:rPr>
      </w:pPr>
    </w:p>
    <w:p w14:paraId="1CBE49F5" w14:textId="33E0F3A7" w:rsidR="008F75F8" w:rsidRDefault="008B41A2" w:rsidP="00DE13B2">
      <w:pPr>
        <w:suppressLineNumbers/>
        <w:spacing w:after="0" w:line="360" w:lineRule="auto"/>
        <w:jc w:val="both"/>
        <w:rPr>
          <w:lang w:val="en-US"/>
        </w:rPr>
      </w:pPr>
      <w:r w:rsidRPr="008B41A2">
        <w:rPr>
          <w:lang w:val="en-US"/>
        </w:rPr>
        <w:t xml:space="preserve">The </w:t>
      </w:r>
      <w:r>
        <w:rPr>
          <w:lang w:val="en-US"/>
        </w:rPr>
        <w:t>hearer’s</w:t>
      </w:r>
      <w:r w:rsidRPr="008B41A2">
        <w:rPr>
          <w:lang w:val="en-US"/>
        </w:rPr>
        <w:t xml:space="preserve"> task encompasses not only deducing the reference of the preposition </w:t>
      </w:r>
      <w:r w:rsidRPr="008F75F8">
        <w:rPr>
          <w:i/>
          <w:iCs/>
          <w:lang w:val="en-US"/>
        </w:rPr>
        <w:t>until</w:t>
      </w:r>
      <w:r w:rsidRPr="008B41A2">
        <w:rPr>
          <w:lang w:val="en-US"/>
        </w:rPr>
        <w:t xml:space="preserve"> from the preceding </w:t>
      </w:r>
      <w:r w:rsidR="008F75F8">
        <w:rPr>
          <w:lang w:val="en-US"/>
        </w:rPr>
        <w:t>phrase</w:t>
      </w:r>
      <w:r w:rsidRPr="008B41A2">
        <w:rPr>
          <w:lang w:val="en-US"/>
        </w:rPr>
        <w:t xml:space="preserve"> </w:t>
      </w:r>
      <w:r w:rsidRPr="008F75F8">
        <w:rPr>
          <w:i/>
          <w:iCs/>
          <w:lang w:val="en-US"/>
        </w:rPr>
        <w:t>until 6pm</w:t>
      </w:r>
      <w:r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proofErr w:type="gramStart"/>
      <w:r w:rsidR="008F75F8">
        <w:rPr>
          <w:lang w:val="en-US"/>
        </w:rPr>
        <w:t xml:space="preserve">, </w:t>
      </w:r>
      <w:r w:rsidR="008F75F8" w:rsidRPr="008B41A2">
        <w:rPr>
          <w:lang w:val="en-US"/>
        </w:rPr>
        <w:t>.</w:t>
      </w:r>
      <w:proofErr w:type="gramEnd"/>
      <w:r w:rsidR="008F75F8">
        <w:rPr>
          <w:lang w:val="en-US"/>
        </w:rPr>
        <w:t>i.e.,</w:t>
      </w:r>
      <w:r w:rsidRPr="008B41A2">
        <w:rPr>
          <w:lang w:val="en-US"/>
        </w:rPr>
        <w:t xml:space="preserve"> </w:t>
      </w:r>
      <w:r w:rsidRPr="008F75F8">
        <w:rPr>
          <w:i/>
          <w:iCs/>
          <w:lang w:val="en-US"/>
        </w:rPr>
        <w:t>Peter worked at the cinema until 6pm</w:t>
      </w:r>
      <w:r w:rsidRPr="008B41A2">
        <w:rPr>
          <w:lang w:val="en-US"/>
        </w:rPr>
        <w:t xml:space="preserve"> instead of </w:t>
      </w:r>
      <w:r w:rsidR="008F75F8" w:rsidRPr="008F75F8">
        <w:rPr>
          <w:i/>
          <w:iCs/>
          <w:lang w:val="en-US"/>
        </w:rPr>
        <w:t xml:space="preserve">Peter worked at the cinema </w:t>
      </w:r>
      <w:r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7" w:name="_Toc143673246"/>
      <w:r>
        <w:t>5.2 Comparison with previous studies and theoretical predictions</w:t>
      </w:r>
      <w:bookmarkEnd w:id="37"/>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Conducting a comparison of the time participants took to provide their ratings could offer insights into whether understanding the dialogues without emphasis required more time compared to those with emphasis. Extended 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43673247"/>
      <w:r w:rsidRPr="007D080B">
        <w:rPr>
          <w:rFonts w:cs="Arial"/>
          <w:szCs w:val="24"/>
          <w:lang w:val="en-US"/>
        </w:rPr>
        <w:t>6</w:t>
      </w:r>
      <w:r w:rsidR="00BA120B" w:rsidRPr="007D080B">
        <w:rPr>
          <w:rFonts w:cs="Arial"/>
          <w:szCs w:val="24"/>
          <w:lang w:val="en-US"/>
        </w:rPr>
        <w:t>. Conclusions</w:t>
      </w:r>
      <w:bookmarkEnd w:id="3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43673248"/>
      <w:r>
        <w:t>6.1 Summary of findings</w:t>
      </w:r>
      <w:bookmarkEnd w:id="39"/>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43673249"/>
      <w:r>
        <w:t>6.2 Contributions to the field</w:t>
      </w:r>
      <w:bookmarkEnd w:id="40"/>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43673250"/>
      <w:r>
        <w:t>6.3 Limitations of the study</w:t>
      </w:r>
      <w:bookmarkEnd w:id="41"/>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43673251"/>
      <w:r>
        <w:t>6.4 Suggestions for future research</w:t>
      </w:r>
      <w:bookmarkEnd w:id="42"/>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C2BF3A2"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008F75F8">
        <w:rPr>
          <w:rFonts w:eastAsia="Times New Roman" w:cs="Arial"/>
          <w:szCs w:val="24"/>
          <w:lang w:val="en-US"/>
        </w:rPr>
        <w:t>if</w:t>
      </w:r>
      <w:r w:rsidRPr="00BF4B26">
        <w:rPr>
          <w:rFonts w:eastAsia="Times New Roman" w:cs="Arial"/>
          <w:szCs w:val="24"/>
          <w:lang w:val="en-US"/>
        </w:rPr>
        <w:t xml:space="preserve"> it might solely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43673252"/>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3152690F" w14:textId="77777777" w:rsidR="009805E6" w:rsidRPr="009805E6" w:rsidRDefault="00FC7E5F" w:rsidP="009805E6">
      <w:pPr>
        <w:pStyle w:val="Literaturverzeichnis"/>
        <w:rPr>
          <w:rFonts w:cs="Arial"/>
          <w:lang w:val="en-US"/>
        </w:rPr>
      </w:pPr>
      <w:r>
        <w:rPr>
          <w:rFonts w:cs="Arial"/>
          <w:lang w:val="en-US"/>
        </w:rPr>
        <w:fldChar w:fldCharType="begin"/>
      </w:r>
      <w:r w:rsidR="009805E6">
        <w:rPr>
          <w:rFonts w:cs="Arial"/>
          <w:lang w:val="en-US"/>
        </w:rPr>
        <w:instrText xml:space="preserve"> ADDIN ZOTERO_BIBL {"uncited":[],"omitted":[],"custom":[]} CSL_BIBLIOGRAPHY </w:instrText>
      </w:r>
      <w:r>
        <w:rPr>
          <w:rFonts w:cs="Arial"/>
          <w:lang w:val="en-US"/>
        </w:rPr>
        <w:fldChar w:fldCharType="separate"/>
      </w:r>
      <w:proofErr w:type="spellStart"/>
      <w:r w:rsidR="009805E6" w:rsidRPr="009805E6">
        <w:rPr>
          <w:rFonts w:cs="Arial"/>
          <w:lang w:val="en-US"/>
        </w:rPr>
        <w:t>Akinnaso</w:t>
      </w:r>
      <w:proofErr w:type="spellEnd"/>
      <w:r w:rsidR="009805E6" w:rsidRPr="009805E6">
        <w:rPr>
          <w:rFonts w:cs="Arial"/>
          <w:lang w:val="en-US"/>
        </w:rPr>
        <w:t xml:space="preserve">, F. N. (1982). On The Differences Between Spoken and Written Language. </w:t>
      </w:r>
      <w:r w:rsidR="009805E6" w:rsidRPr="009805E6">
        <w:rPr>
          <w:rFonts w:cs="Arial"/>
          <w:i/>
          <w:iCs/>
          <w:lang w:val="en-US"/>
        </w:rPr>
        <w:t>Language and Speech</w:t>
      </w:r>
      <w:r w:rsidR="009805E6" w:rsidRPr="009805E6">
        <w:rPr>
          <w:rFonts w:cs="Arial"/>
          <w:lang w:val="en-US"/>
        </w:rPr>
        <w:t xml:space="preserve">, </w:t>
      </w:r>
      <w:r w:rsidR="009805E6" w:rsidRPr="009805E6">
        <w:rPr>
          <w:rFonts w:cs="Arial"/>
          <w:i/>
          <w:iCs/>
          <w:lang w:val="en-US"/>
        </w:rPr>
        <w:t>25</w:t>
      </w:r>
      <w:r w:rsidR="009805E6" w:rsidRPr="009805E6">
        <w:rPr>
          <w:rFonts w:cs="Arial"/>
          <w:lang w:val="en-US"/>
        </w:rPr>
        <w:t>(2), 97–125. https://doi.org/10.1177/002383098202500201</w:t>
      </w:r>
    </w:p>
    <w:p w14:paraId="41953BE4" w14:textId="77777777" w:rsidR="009805E6" w:rsidRPr="009805E6" w:rsidRDefault="009805E6" w:rsidP="009805E6">
      <w:pPr>
        <w:pStyle w:val="Literaturverzeichnis"/>
        <w:rPr>
          <w:rFonts w:cs="Arial"/>
          <w:lang w:val="en-US"/>
        </w:rPr>
      </w:pPr>
      <w:r w:rsidRPr="009805E6">
        <w:rPr>
          <w:rFonts w:cs="Arial"/>
          <w:lang w:val="en-US"/>
        </w:rPr>
        <w:t xml:space="preserve">Beckman, M. E., &amp; Ayers. (1997). </w:t>
      </w:r>
      <w:r w:rsidRPr="009805E6">
        <w:rPr>
          <w:rFonts w:cs="Arial"/>
          <w:i/>
          <w:iCs/>
          <w:lang w:val="en-US"/>
        </w:rPr>
        <w:t xml:space="preserve">Guidelines for </w:t>
      </w:r>
      <w:proofErr w:type="spellStart"/>
      <w:r w:rsidRPr="009805E6">
        <w:rPr>
          <w:rFonts w:cs="Arial"/>
          <w:i/>
          <w:iCs/>
          <w:lang w:val="en-US"/>
        </w:rPr>
        <w:t>ToBI</w:t>
      </w:r>
      <w:proofErr w:type="spellEnd"/>
      <w:r w:rsidRPr="009805E6">
        <w:rPr>
          <w:rFonts w:cs="Arial"/>
          <w:i/>
          <w:iCs/>
          <w:lang w:val="en-US"/>
        </w:rPr>
        <w:t xml:space="preserve"> labelling, version 3</w:t>
      </w:r>
      <w:r w:rsidRPr="009805E6">
        <w:rPr>
          <w:rFonts w:cs="Arial"/>
          <w:lang w:val="en-US"/>
        </w:rPr>
        <w:t>. The Ohio State University Research Foundation. http://www.ling.ohio-state.edu/phonetics/ToBI/ToBI.0.html</w:t>
      </w:r>
    </w:p>
    <w:p w14:paraId="152772B2" w14:textId="77777777" w:rsidR="009805E6" w:rsidRPr="009805E6" w:rsidRDefault="009805E6" w:rsidP="009805E6">
      <w:pPr>
        <w:pStyle w:val="Literaturverzeichnis"/>
        <w:rPr>
          <w:rFonts w:cs="Arial"/>
          <w:lang w:val="en-US"/>
        </w:rPr>
      </w:pPr>
      <w:r w:rsidRPr="009805E6">
        <w:rPr>
          <w:rFonts w:cs="Arial"/>
          <w:lang w:val="en-US"/>
        </w:rPr>
        <w:t xml:space="preserve">Biber, D., Johansson, S., Leech, G. N., Conrad, S., &amp; Finegan, E. (2021). </w:t>
      </w:r>
      <w:r w:rsidRPr="009805E6">
        <w:rPr>
          <w:rFonts w:cs="Arial"/>
          <w:i/>
          <w:iCs/>
          <w:lang w:val="en-US"/>
        </w:rPr>
        <w:t>Grammar of Spoken and Written English</w:t>
      </w:r>
      <w:r w:rsidRPr="009805E6">
        <w:rPr>
          <w:rFonts w:cs="Arial"/>
          <w:lang w:val="en-US"/>
        </w:rPr>
        <w:t>. John Benjamins Publishing Company. https://doi.org/10.1075/z.232</w:t>
      </w:r>
    </w:p>
    <w:p w14:paraId="2567DA7A" w14:textId="77777777" w:rsidR="009805E6" w:rsidRPr="009805E6" w:rsidRDefault="009805E6" w:rsidP="009805E6">
      <w:pPr>
        <w:pStyle w:val="Literaturverzeichnis"/>
        <w:rPr>
          <w:rFonts w:cs="Arial"/>
          <w:lang w:val="en-US"/>
        </w:rPr>
      </w:pPr>
      <w:r w:rsidRPr="009805E6">
        <w:rPr>
          <w:rFonts w:cs="Arial"/>
          <w:lang w:val="en-US"/>
        </w:rPr>
        <w:t xml:space="preserve">Black, M., Coltheart, M., &amp; Byng, S. (1985). Forms of coding in sentence comprehension during reading. In M. Coltheart (Ed.), </w:t>
      </w:r>
      <w:r w:rsidRPr="009805E6">
        <w:rPr>
          <w:rFonts w:cs="Arial"/>
          <w:i/>
          <w:iCs/>
          <w:lang w:val="en-US"/>
        </w:rPr>
        <w:t>Attention and performance XII: The psychology of reading</w:t>
      </w:r>
      <w:r w:rsidRPr="009805E6">
        <w:rPr>
          <w:rFonts w:cs="Arial"/>
          <w:lang w:val="en-US"/>
        </w:rPr>
        <w:t xml:space="preserve"> (pp. 655–672). Lawrence Erlbaum Associates.</w:t>
      </w:r>
    </w:p>
    <w:p w14:paraId="1C353C8F" w14:textId="77777777" w:rsidR="009805E6" w:rsidRPr="009805E6" w:rsidRDefault="009805E6" w:rsidP="009805E6">
      <w:pPr>
        <w:pStyle w:val="Literaturverzeichnis"/>
        <w:rPr>
          <w:rFonts w:cs="Arial"/>
          <w:lang w:val="en-US"/>
        </w:rPr>
      </w:pPr>
      <w:r w:rsidRPr="009805E6">
        <w:rPr>
          <w:rFonts w:cs="Arial"/>
          <w:lang w:val="en-US"/>
        </w:rPr>
        <w:t xml:space="preserve">Carlson, K., Frazier, L., &amp; Clifton, C. (2009). How prosody constrains comprehension: A limited effect of prosodic packaging. </w:t>
      </w:r>
      <w:r w:rsidRPr="009805E6">
        <w:rPr>
          <w:rFonts w:cs="Arial"/>
          <w:i/>
          <w:iCs/>
          <w:lang w:val="en-US"/>
        </w:rPr>
        <w:t>Lingua</w:t>
      </w:r>
      <w:r w:rsidRPr="009805E6">
        <w:rPr>
          <w:rFonts w:cs="Arial"/>
          <w:lang w:val="en-US"/>
        </w:rPr>
        <w:t xml:space="preserve">, </w:t>
      </w:r>
      <w:r w:rsidRPr="009805E6">
        <w:rPr>
          <w:rFonts w:cs="Arial"/>
          <w:i/>
          <w:iCs/>
          <w:lang w:val="en-US"/>
        </w:rPr>
        <w:t>119</w:t>
      </w:r>
      <w:r w:rsidRPr="009805E6">
        <w:rPr>
          <w:rFonts w:cs="Arial"/>
          <w:lang w:val="en-US"/>
        </w:rPr>
        <w:t>(7), 1066–1082. https://doi.org/10.1016/j.lingua.2008.11.003</w:t>
      </w:r>
    </w:p>
    <w:p w14:paraId="4161034E" w14:textId="77777777" w:rsidR="009805E6" w:rsidRPr="009805E6" w:rsidRDefault="009805E6" w:rsidP="009805E6">
      <w:pPr>
        <w:pStyle w:val="Literaturverzeichnis"/>
        <w:rPr>
          <w:rFonts w:cs="Arial"/>
          <w:lang w:val="sv-SE"/>
        </w:rPr>
      </w:pPr>
      <w:r w:rsidRPr="009805E6">
        <w:rPr>
          <w:rFonts w:cs="Arial"/>
          <w:lang w:val="en-US"/>
        </w:rPr>
        <w:t xml:space="preserve">Chomsky, N. (1957). </w:t>
      </w:r>
      <w:r w:rsidRPr="009805E6">
        <w:rPr>
          <w:rFonts w:cs="Arial"/>
          <w:i/>
          <w:iCs/>
          <w:lang w:val="en-US"/>
        </w:rPr>
        <w:t>Syntactic Structures</w:t>
      </w:r>
      <w:r w:rsidRPr="009805E6">
        <w:rPr>
          <w:rFonts w:cs="Arial"/>
          <w:lang w:val="en-US"/>
        </w:rPr>
        <w:t xml:space="preserve">. </w:t>
      </w:r>
      <w:r w:rsidRPr="009805E6">
        <w:rPr>
          <w:rFonts w:cs="Arial"/>
          <w:lang w:val="sv-SE"/>
        </w:rPr>
        <w:t>Mouton de Gruyter.</w:t>
      </w:r>
    </w:p>
    <w:p w14:paraId="41C89A82" w14:textId="77777777" w:rsidR="009805E6" w:rsidRPr="009805E6" w:rsidRDefault="009805E6" w:rsidP="009805E6">
      <w:pPr>
        <w:pStyle w:val="Literaturverzeichnis"/>
        <w:rPr>
          <w:rFonts w:cs="Arial"/>
          <w:lang w:val="en-US"/>
        </w:rPr>
      </w:pPr>
      <w:r w:rsidRPr="009805E6">
        <w:rPr>
          <w:rFonts w:cs="Arial"/>
          <w:lang w:val="sv-SE"/>
        </w:rPr>
        <w:t xml:space="preserve">Chomsky, N., &amp; Halle, M. (1991). </w:t>
      </w:r>
      <w:r w:rsidRPr="009805E6">
        <w:rPr>
          <w:rFonts w:cs="Arial"/>
          <w:i/>
          <w:iCs/>
          <w:lang w:val="en-US"/>
        </w:rPr>
        <w:t>The sound pattern of English</w:t>
      </w:r>
      <w:r w:rsidRPr="009805E6">
        <w:rPr>
          <w:rFonts w:cs="Arial"/>
          <w:lang w:val="en-US"/>
        </w:rPr>
        <w:t xml:space="preserve"> (1st MIT Press paperback. ed). MIT Press.</w:t>
      </w:r>
    </w:p>
    <w:p w14:paraId="47DC3888" w14:textId="77777777" w:rsidR="009805E6" w:rsidRPr="009805E6" w:rsidRDefault="009805E6" w:rsidP="009805E6">
      <w:pPr>
        <w:pStyle w:val="Literaturverzeichnis"/>
        <w:rPr>
          <w:rFonts w:cs="Arial"/>
          <w:lang w:val="en-US"/>
        </w:rPr>
      </w:pPr>
      <w:r w:rsidRPr="009805E6">
        <w:rPr>
          <w:rFonts w:cs="Arial"/>
          <w:lang w:val="en-US"/>
        </w:rPr>
        <w:t xml:space="preserve">Christensen, R. H. B. (2018). </w:t>
      </w:r>
      <w:r w:rsidRPr="009805E6">
        <w:rPr>
          <w:rFonts w:cs="Arial"/>
          <w:i/>
          <w:iCs/>
          <w:lang w:val="en-US"/>
        </w:rPr>
        <w:t>Regression Models for Ordinal Data: Introducing R-package ordinal</w:t>
      </w:r>
      <w:r w:rsidRPr="009805E6">
        <w:rPr>
          <w:rFonts w:cs="Arial"/>
          <w:lang w:val="en-US"/>
        </w:rPr>
        <w:t xml:space="preserve"> [Computer software]. https://cran.r-project.org/package=ordinal</w:t>
      </w:r>
    </w:p>
    <w:p w14:paraId="667181EF" w14:textId="77777777" w:rsidR="009805E6" w:rsidRPr="009805E6" w:rsidRDefault="009805E6" w:rsidP="009805E6">
      <w:pPr>
        <w:pStyle w:val="Literaturverzeichnis"/>
        <w:rPr>
          <w:rFonts w:cs="Arial"/>
          <w:lang w:val="en-US"/>
        </w:rPr>
      </w:pPr>
      <w:r w:rsidRPr="009805E6">
        <w:rPr>
          <w:rFonts w:cs="Arial"/>
          <w:lang w:val="en-US"/>
        </w:rPr>
        <w:t xml:space="preserve">Delbar, N. A. (2019). </w:t>
      </w:r>
      <w:r w:rsidRPr="009805E6">
        <w:rPr>
          <w:rFonts w:cs="Arial"/>
          <w:i/>
          <w:iCs/>
          <w:lang w:val="en-US"/>
        </w:rPr>
        <w:t>Swiping in English and Dutch: The Interaction between R-Pronouns and Modal Particles</w:t>
      </w:r>
      <w:r w:rsidRPr="009805E6">
        <w:rPr>
          <w:rFonts w:cs="Arial"/>
          <w:lang w:val="en-US"/>
        </w:rPr>
        <w:t>.</w:t>
      </w:r>
    </w:p>
    <w:p w14:paraId="2B92A76F" w14:textId="77777777" w:rsidR="009805E6" w:rsidRPr="009805E6" w:rsidRDefault="009805E6" w:rsidP="009805E6">
      <w:pPr>
        <w:pStyle w:val="Literaturverzeichnis"/>
        <w:rPr>
          <w:rFonts w:cs="Arial"/>
        </w:rPr>
      </w:pPr>
      <w:r w:rsidRPr="009805E6">
        <w:rPr>
          <w:rFonts w:cs="Arial"/>
          <w:lang w:val="en-US"/>
        </w:rPr>
        <w:lastRenderedPageBreak/>
        <w:t xml:space="preserve">Featherston, S. (2008). Thermometer judgements as linguistic evidence. </w:t>
      </w:r>
      <w:r w:rsidRPr="009805E6">
        <w:rPr>
          <w:rFonts w:cs="Arial"/>
        </w:rPr>
        <w:t xml:space="preserve">In C. M. Riehl &amp; A. Rothe (Eds.), </w:t>
      </w:r>
      <w:r w:rsidRPr="009805E6">
        <w:rPr>
          <w:rFonts w:cs="Arial"/>
          <w:i/>
          <w:iCs/>
        </w:rPr>
        <w:t>Was ist linguistische Evidenz?</w:t>
      </w:r>
      <w:r w:rsidRPr="009805E6">
        <w:rPr>
          <w:rFonts w:cs="Arial"/>
        </w:rPr>
        <w:t xml:space="preserve"> Shaker Verlag.</w:t>
      </w:r>
    </w:p>
    <w:p w14:paraId="342E1F99" w14:textId="77777777" w:rsidR="009805E6" w:rsidRPr="009805E6" w:rsidRDefault="009805E6" w:rsidP="009805E6">
      <w:pPr>
        <w:pStyle w:val="Literaturverzeichnis"/>
        <w:rPr>
          <w:rFonts w:cs="Arial"/>
        </w:rPr>
      </w:pPr>
      <w:proofErr w:type="spellStart"/>
      <w:r w:rsidRPr="009805E6">
        <w:rPr>
          <w:rFonts w:cs="Arial"/>
          <w:lang w:val="en-US"/>
        </w:rPr>
        <w:t>Féry</w:t>
      </w:r>
      <w:proofErr w:type="spellEnd"/>
      <w:r w:rsidRPr="009805E6">
        <w:rPr>
          <w:rFonts w:cs="Arial"/>
          <w:lang w:val="en-US"/>
        </w:rPr>
        <w:t xml:space="preserve">, C. (2011). German sentence accents and embedded prosodic phrases. </w:t>
      </w:r>
      <w:r w:rsidRPr="009805E6">
        <w:rPr>
          <w:rFonts w:cs="Arial"/>
          <w:i/>
          <w:iCs/>
        </w:rPr>
        <w:t>Lingua</w:t>
      </w:r>
      <w:r w:rsidRPr="009805E6">
        <w:rPr>
          <w:rFonts w:cs="Arial"/>
        </w:rPr>
        <w:t xml:space="preserve">, </w:t>
      </w:r>
      <w:r w:rsidRPr="009805E6">
        <w:rPr>
          <w:rFonts w:cs="Arial"/>
          <w:i/>
          <w:iCs/>
        </w:rPr>
        <w:t>121</w:t>
      </w:r>
      <w:r w:rsidRPr="009805E6">
        <w:rPr>
          <w:rFonts w:cs="Arial"/>
        </w:rPr>
        <w:t>(13), 1906–1922. https://doi.org/10.1016/j.lingua.2011.07.005</w:t>
      </w:r>
    </w:p>
    <w:p w14:paraId="687EF4FD" w14:textId="77777777" w:rsidR="009805E6" w:rsidRPr="009805E6" w:rsidRDefault="009805E6" w:rsidP="009805E6">
      <w:pPr>
        <w:pStyle w:val="Literaturverzeichnis"/>
        <w:rPr>
          <w:rFonts w:cs="Arial"/>
          <w:lang w:val="en-US"/>
        </w:rPr>
      </w:pPr>
      <w:proofErr w:type="spellStart"/>
      <w:r w:rsidRPr="009805E6">
        <w:rPr>
          <w:rFonts w:cs="Arial"/>
          <w:lang w:val="en-US"/>
        </w:rPr>
        <w:t>Féry</w:t>
      </w:r>
      <w:proofErr w:type="spellEnd"/>
      <w:r w:rsidRPr="009805E6">
        <w:rPr>
          <w:rFonts w:cs="Arial"/>
          <w:lang w:val="en-US"/>
        </w:rPr>
        <w:t xml:space="preserve">, C., &amp; Herbst, L. (2004). German Sentence Accent Revisited. </w:t>
      </w:r>
      <w:r w:rsidRPr="009805E6">
        <w:rPr>
          <w:rFonts w:cs="Arial"/>
          <w:i/>
          <w:iCs/>
          <w:lang w:val="en-US"/>
        </w:rPr>
        <w:t>Interdisciplinary Studies in Information Structures 1. Working Pa-Pers of the SFB 632</w:t>
      </w:r>
      <w:r w:rsidRPr="009805E6">
        <w:rPr>
          <w:rFonts w:cs="Arial"/>
          <w:lang w:val="en-US"/>
        </w:rPr>
        <w:t>, 43–75.</w:t>
      </w:r>
    </w:p>
    <w:p w14:paraId="698987E4" w14:textId="77777777" w:rsidR="009805E6" w:rsidRPr="009805E6" w:rsidRDefault="009805E6" w:rsidP="009805E6">
      <w:pPr>
        <w:pStyle w:val="Literaturverzeichnis"/>
        <w:rPr>
          <w:rFonts w:cs="Arial"/>
          <w:lang w:val="en-US"/>
        </w:rPr>
      </w:pPr>
      <w:r w:rsidRPr="009805E6">
        <w:rPr>
          <w:rFonts w:cs="Arial"/>
        </w:rPr>
        <w:t xml:space="preserve">Franck, J., Bowers, J., Frauenfelder, U. H., &amp; </w:t>
      </w:r>
      <w:proofErr w:type="spellStart"/>
      <w:r w:rsidRPr="009805E6">
        <w:rPr>
          <w:rFonts w:cs="Arial"/>
        </w:rPr>
        <w:t>Vigliocco</w:t>
      </w:r>
      <w:proofErr w:type="spellEnd"/>
      <w:r w:rsidRPr="009805E6">
        <w:rPr>
          <w:rFonts w:cs="Arial"/>
        </w:rPr>
        <w:t xml:space="preserve">, G. (2003). </w:t>
      </w:r>
      <w:r w:rsidRPr="009805E6">
        <w:rPr>
          <w:rFonts w:cs="Arial"/>
          <w:lang w:val="en-US"/>
        </w:rPr>
        <w:t xml:space="preserve">Orthographic influences on agreement: A case for modality-specific form effects on grammatical encoding. </w:t>
      </w:r>
      <w:r w:rsidRPr="009805E6">
        <w:rPr>
          <w:rFonts w:cs="Arial"/>
          <w:i/>
          <w:iCs/>
          <w:lang w:val="en-US"/>
        </w:rPr>
        <w:t>Language and Cognitive Processes</w:t>
      </w:r>
      <w:r w:rsidRPr="009805E6">
        <w:rPr>
          <w:rFonts w:cs="Arial"/>
          <w:lang w:val="en-US"/>
        </w:rPr>
        <w:t xml:space="preserve">, </w:t>
      </w:r>
      <w:r w:rsidRPr="009805E6">
        <w:rPr>
          <w:rFonts w:cs="Arial"/>
          <w:i/>
          <w:iCs/>
          <w:lang w:val="en-US"/>
        </w:rPr>
        <w:t>18</w:t>
      </w:r>
      <w:r w:rsidRPr="009805E6">
        <w:rPr>
          <w:rFonts w:cs="Arial"/>
          <w:lang w:val="en-US"/>
        </w:rPr>
        <w:t>(1), 61–79. https://doi.org/10.1080/01690960143000452</w:t>
      </w:r>
    </w:p>
    <w:p w14:paraId="5C2F2AF1" w14:textId="77777777" w:rsidR="009805E6" w:rsidRPr="009805E6" w:rsidRDefault="009805E6" w:rsidP="009805E6">
      <w:pPr>
        <w:pStyle w:val="Literaturverzeichnis"/>
        <w:rPr>
          <w:rFonts w:cs="Arial"/>
          <w:lang w:val="en-US"/>
        </w:rPr>
      </w:pPr>
      <w:r w:rsidRPr="009805E6">
        <w:rPr>
          <w:rFonts w:cs="Arial"/>
          <w:lang w:val="en-US"/>
        </w:rPr>
        <w:t xml:space="preserve">Frazier, L., &amp; Clifton, C. (1998). Comprehension of Sluiced Sentences. </w:t>
      </w:r>
      <w:r w:rsidRPr="009805E6">
        <w:rPr>
          <w:rFonts w:cs="Arial"/>
          <w:i/>
          <w:iCs/>
          <w:lang w:val="en-US"/>
        </w:rPr>
        <w:t>Language and Cognitive Processes</w:t>
      </w:r>
      <w:r w:rsidRPr="009805E6">
        <w:rPr>
          <w:rFonts w:cs="Arial"/>
          <w:lang w:val="en-US"/>
        </w:rPr>
        <w:t xml:space="preserve">, </w:t>
      </w:r>
      <w:r w:rsidRPr="009805E6">
        <w:rPr>
          <w:rFonts w:cs="Arial"/>
          <w:i/>
          <w:iCs/>
          <w:lang w:val="en-US"/>
        </w:rPr>
        <w:t>13</w:t>
      </w:r>
      <w:r w:rsidRPr="009805E6">
        <w:rPr>
          <w:rFonts w:cs="Arial"/>
          <w:lang w:val="en-US"/>
        </w:rPr>
        <w:t>(4), 499–520. https://doi.org/10.1080/016909698386474</w:t>
      </w:r>
    </w:p>
    <w:p w14:paraId="188F35B9" w14:textId="77777777" w:rsidR="009805E6" w:rsidRPr="009805E6" w:rsidRDefault="009805E6" w:rsidP="009805E6">
      <w:pPr>
        <w:pStyle w:val="Literaturverzeichnis"/>
        <w:rPr>
          <w:rFonts w:cs="Arial"/>
          <w:lang w:val="en-US"/>
        </w:rPr>
      </w:pPr>
      <w:r w:rsidRPr="009805E6">
        <w:rPr>
          <w:rFonts w:cs="Arial"/>
        </w:rPr>
        <w:t xml:space="preserve">Frazier, L., Taft, L., Roeper, T., Clifton, C., &amp; Ehrlich, K. (1984). </w:t>
      </w:r>
      <w:r w:rsidRPr="009805E6">
        <w:rPr>
          <w:rFonts w:cs="Arial"/>
          <w:lang w:val="en-US"/>
        </w:rPr>
        <w:t xml:space="preserve">Parallel structure: A source of facilitation in sentence comprehension. </w:t>
      </w:r>
      <w:r w:rsidRPr="009805E6">
        <w:rPr>
          <w:rFonts w:cs="Arial"/>
          <w:i/>
          <w:iCs/>
          <w:lang w:val="en-US"/>
        </w:rPr>
        <w:t>Memory &amp; Cognition</w:t>
      </w:r>
      <w:r w:rsidRPr="009805E6">
        <w:rPr>
          <w:rFonts w:cs="Arial"/>
          <w:lang w:val="en-US"/>
        </w:rPr>
        <w:t xml:space="preserve">, </w:t>
      </w:r>
      <w:r w:rsidRPr="009805E6">
        <w:rPr>
          <w:rFonts w:cs="Arial"/>
          <w:i/>
          <w:iCs/>
          <w:lang w:val="en-US"/>
        </w:rPr>
        <w:t>12</w:t>
      </w:r>
      <w:r w:rsidRPr="009805E6">
        <w:rPr>
          <w:rFonts w:cs="Arial"/>
          <w:lang w:val="en-US"/>
        </w:rPr>
        <w:t>(5), 421–430. https://doi.org/10.3758/BF03198303</w:t>
      </w:r>
    </w:p>
    <w:p w14:paraId="490CA956" w14:textId="77777777" w:rsidR="009805E6" w:rsidRPr="009805E6" w:rsidRDefault="009805E6" w:rsidP="009805E6">
      <w:pPr>
        <w:pStyle w:val="Literaturverzeichnis"/>
        <w:rPr>
          <w:rFonts w:cs="Arial"/>
          <w:lang w:val="en-US"/>
        </w:rPr>
      </w:pPr>
      <w:r w:rsidRPr="009805E6">
        <w:rPr>
          <w:rFonts w:cs="Arial"/>
          <w:lang w:val="en-US"/>
        </w:rPr>
        <w:t xml:space="preserve">Griffiths, J., Güneş, G., &amp; Lipták, A. (2023). Reprise fragments in English and Hungarian: Further support for an in-situ Q-equivalence approach to clausal ellipsis. </w:t>
      </w:r>
      <w:r w:rsidRPr="009805E6">
        <w:rPr>
          <w:rFonts w:cs="Arial"/>
          <w:i/>
          <w:iCs/>
          <w:lang w:val="en-US"/>
        </w:rPr>
        <w:t>Language</w:t>
      </w:r>
      <w:r w:rsidRPr="009805E6">
        <w:rPr>
          <w:rFonts w:cs="Arial"/>
          <w:lang w:val="en-US"/>
        </w:rPr>
        <w:t xml:space="preserve">, </w:t>
      </w:r>
      <w:r w:rsidRPr="009805E6">
        <w:rPr>
          <w:rFonts w:cs="Arial"/>
          <w:i/>
          <w:iCs/>
          <w:lang w:val="en-US"/>
        </w:rPr>
        <w:t>99</w:t>
      </w:r>
      <w:r w:rsidRPr="009805E6">
        <w:rPr>
          <w:rFonts w:cs="Arial"/>
          <w:lang w:val="en-US"/>
        </w:rPr>
        <w:t>(1), 154–191. https://doi.org/10.1353/lan.2023.0000</w:t>
      </w:r>
    </w:p>
    <w:p w14:paraId="05C92BC0" w14:textId="77777777" w:rsidR="009805E6" w:rsidRPr="009805E6" w:rsidRDefault="009805E6" w:rsidP="009805E6">
      <w:pPr>
        <w:pStyle w:val="Literaturverzeichnis"/>
        <w:rPr>
          <w:rFonts w:cs="Arial"/>
          <w:lang w:val="en-US"/>
        </w:rPr>
      </w:pPr>
      <w:r w:rsidRPr="009805E6">
        <w:rPr>
          <w:rFonts w:cs="Arial"/>
          <w:lang w:val="en-US"/>
        </w:rPr>
        <w:lastRenderedPageBreak/>
        <w:t xml:space="preserve">Griffiths, J., &amp; Lipták, A. (2014). Contrast and Island Sensitivity in Clausal Ellipsis. </w:t>
      </w:r>
      <w:r w:rsidRPr="009805E6">
        <w:rPr>
          <w:rFonts w:cs="Arial"/>
          <w:i/>
          <w:iCs/>
          <w:lang w:val="en-US"/>
        </w:rPr>
        <w:t>Syntax</w:t>
      </w:r>
      <w:r w:rsidRPr="009805E6">
        <w:rPr>
          <w:rFonts w:cs="Arial"/>
          <w:lang w:val="en-US"/>
        </w:rPr>
        <w:t xml:space="preserve">, </w:t>
      </w:r>
      <w:r w:rsidRPr="009805E6">
        <w:rPr>
          <w:rFonts w:cs="Arial"/>
          <w:i/>
          <w:iCs/>
          <w:lang w:val="en-US"/>
        </w:rPr>
        <w:t>17</w:t>
      </w:r>
      <w:r w:rsidRPr="009805E6">
        <w:rPr>
          <w:rFonts w:cs="Arial"/>
          <w:lang w:val="en-US"/>
        </w:rPr>
        <w:t>(3), 189–234. https://doi.org/10.1111/synt.12018</w:t>
      </w:r>
    </w:p>
    <w:p w14:paraId="11A0209F" w14:textId="77777777" w:rsidR="009805E6" w:rsidRPr="009805E6" w:rsidRDefault="009805E6" w:rsidP="009805E6">
      <w:pPr>
        <w:pStyle w:val="Literaturverzeichnis"/>
        <w:rPr>
          <w:rFonts w:cs="Arial"/>
          <w:lang w:val="en-US"/>
        </w:rPr>
      </w:pPr>
      <w:r w:rsidRPr="009805E6">
        <w:rPr>
          <w:rFonts w:cs="Arial"/>
          <w:lang w:val="en-US"/>
        </w:rPr>
        <w:t xml:space="preserve">Harris, J. A. (2015). Structure Modulates Similarity-Based Interference in Sluicing: An Eye Tracking study. </w:t>
      </w:r>
      <w:r w:rsidRPr="009805E6">
        <w:rPr>
          <w:rFonts w:cs="Arial"/>
          <w:i/>
          <w:iCs/>
          <w:lang w:val="en-US"/>
        </w:rPr>
        <w:t>Frontiers in Psychology</w:t>
      </w:r>
      <w:r w:rsidRPr="009805E6">
        <w:rPr>
          <w:rFonts w:cs="Arial"/>
          <w:lang w:val="en-US"/>
        </w:rPr>
        <w:t xml:space="preserve">, </w:t>
      </w:r>
      <w:r w:rsidRPr="009805E6">
        <w:rPr>
          <w:rFonts w:cs="Arial"/>
          <w:i/>
          <w:iCs/>
          <w:lang w:val="en-US"/>
        </w:rPr>
        <w:t>6</w:t>
      </w:r>
      <w:r w:rsidRPr="009805E6">
        <w:rPr>
          <w:rFonts w:cs="Arial"/>
          <w:lang w:val="en-US"/>
        </w:rPr>
        <w:t>. https://doi.org/10.3389/fpsyg.2015.01839</w:t>
      </w:r>
    </w:p>
    <w:p w14:paraId="47102C42" w14:textId="77777777" w:rsidR="009805E6" w:rsidRPr="009805E6" w:rsidRDefault="009805E6" w:rsidP="009805E6">
      <w:pPr>
        <w:pStyle w:val="Literaturverzeichnis"/>
        <w:rPr>
          <w:rFonts w:cs="Arial"/>
          <w:lang w:val="en-US"/>
        </w:rPr>
      </w:pPr>
      <w:r w:rsidRPr="009805E6">
        <w:rPr>
          <w:rFonts w:cs="Arial"/>
          <w:lang w:val="en-US"/>
        </w:rPr>
        <w:t xml:space="preserve">Harris, J. A., &amp; Carlson, K. (2016). Keep it local (and final): Remnant preferences in “let alone” ellipsis. </w:t>
      </w:r>
      <w:r w:rsidRPr="009805E6">
        <w:rPr>
          <w:rFonts w:cs="Arial"/>
          <w:i/>
          <w:iCs/>
          <w:lang w:val="en-US"/>
        </w:rPr>
        <w:t>Quarterly Journal of Experimental Psychology</w:t>
      </w:r>
      <w:r w:rsidRPr="009805E6">
        <w:rPr>
          <w:rFonts w:cs="Arial"/>
          <w:lang w:val="en-US"/>
        </w:rPr>
        <w:t xml:space="preserve">, </w:t>
      </w:r>
      <w:r w:rsidRPr="009805E6">
        <w:rPr>
          <w:rFonts w:cs="Arial"/>
          <w:i/>
          <w:iCs/>
          <w:lang w:val="en-US"/>
        </w:rPr>
        <w:t>69</w:t>
      </w:r>
      <w:r w:rsidRPr="009805E6">
        <w:rPr>
          <w:rFonts w:cs="Arial"/>
          <w:lang w:val="en-US"/>
        </w:rPr>
        <w:t>(7), 1278–1301. https://doi.org/10.1080/17470218.2015.1062526</w:t>
      </w:r>
    </w:p>
    <w:p w14:paraId="527EB82B" w14:textId="77777777" w:rsidR="009805E6" w:rsidRPr="009805E6" w:rsidRDefault="009805E6" w:rsidP="009805E6">
      <w:pPr>
        <w:pStyle w:val="Literaturverzeichnis"/>
        <w:rPr>
          <w:rFonts w:cs="Arial"/>
          <w:lang w:val="en-US"/>
        </w:rPr>
      </w:pPr>
      <w:r w:rsidRPr="009805E6">
        <w:rPr>
          <w:rFonts w:cs="Arial"/>
          <w:lang w:val="en-US"/>
        </w:rPr>
        <w:t xml:space="preserve">Harris, J. A., &amp; Carlson, K. (2018). Information Structure Preferences in Focus-Sensitive Ellipsis: How Defaults Persist. </w:t>
      </w:r>
      <w:r w:rsidRPr="009805E6">
        <w:rPr>
          <w:rFonts w:cs="Arial"/>
          <w:i/>
          <w:iCs/>
          <w:lang w:val="en-US"/>
        </w:rPr>
        <w:t>Language and Speech</w:t>
      </w:r>
      <w:r w:rsidRPr="009805E6">
        <w:rPr>
          <w:rFonts w:cs="Arial"/>
          <w:lang w:val="en-US"/>
        </w:rPr>
        <w:t xml:space="preserve">, </w:t>
      </w:r>
      <w:r w:rsidRPr="009805E6">
        <w:rPr>
          <w:rFonts w:cs="Arial"/>
          <w:i/>
          <w:iCs/>
          <w:lang w:val="en-US"/>
        </w:rPr>
        <w:t>61</w:t>
      </w:r>
      <w:r w:rsidRPr="009805E6">
        <w:rPr>
          <w:rFonts w:cs="Arial"/>
          <w:lang w:val="en-US"/>
        </w:rPr>
        <w:t>(3), 480–512. https://doi.org/10.1177/0023830917737110</w:t>
      </w:r>
    </w:p>
    <w:p w14:paraId="626C1B71" w14:textId="77777777" w:rsidR="009805E6" w:rsidRPr="009805E6" w:rsidRDefault="009805E6" w:rsidP="009805E6">
      <w:pPr>
        <w:pStyle w:val="Literaturverzeichnis"/>
        <w:rPr>
          <w:rFonts w:cs="Arial"/>
          <w:lang w:val="en-US"/>
        </w:rPr>
      </w:pPr>
      <w:r w:rsidRPr="009805E6">
        <w:rPr>
          <w:rFonts w:cs="Arial"/>
          <w:lang w:val="en-US"/>
        </w:rPr>
        <w:t xml:space="preserve">Jasso, J. (2022). </w:t>
      </w:r>
      <w:r w:rsidRPr="009805E6">
        <w:rPr>
          <w:rFonts w:cs="Arial"/>
          <w:i/>
          <w:iCs/>
          <w:lang w:val="en-US"/>
        </w:rPr>
        <w:t>How Does Parent Input Influence Bilingual Children’s Knowledge and Use of Spanish Subjunctive? A Dyadic Study</w:t>
      </w:r>
      <w:r w:rsidRPr="009805E6">
        <w:rPr>
          <w:rFonts w:cs="Arial"/>
          <w:lang w:val="en-US"/>
        </w:rPr>
        <w:t xml:space="preserve"> [Dissertation]. University of Texas at Austin.</w:t>
      </w:r>
    </w:p>
    <w:p w14:paraId="6865A560" w14:textId="77777777" w:rsidR="009805E6" w:rsidRPr="009805E6" w:rsidRDefault="009805E6" w:rsidP="009805E6">
      <w:pPr>
        <w:pStyle w:val="Literaturverzeichnis"/>
        <w:rPr>
          <w:rFonts w:cs="Arial"/>
          <w:lang w:val="en-US"/>
        </w:rPr>
      </w:pPr>
      <w:r w:rsidRPr="009805E6">
        <w:rPr>
          <w:rFonts w:cs="Arial"/>
          <w:lang w:val="en-US"/>
        </w:rPr>
        <w:t xml:space="preserve">Juzek, T. S. (2016). </w:t>
      </w:r>
      <w:r w:rsidRPr="009805E6">
        <w:rPr>
          <w:rFonts w:cs="Arial"/>
          <w:i/>
          <w:iCs/>
          <w:lang w:val="en-US"/>
        </w:rPr>
        <w:t>Acceptability Judgement Tasks and Grammatical Theory</w:t>
      </w:r>
      <w:r w:rsidRPr="009805E6">
        <w:rPr>
          <w:rFonts w:cs="Arial"/>
          <w:lang w:val="en-US"/>
        </w:rPr>
        <w:t>. University of Oxford.</w:t>
      </w:r>
    </w:p>
    <w:p w14:paraId="1E864039" w14:textId="77777777" w:rsidR="009805E6" w:rsidRPr="009805E6" w:rsidRDefault="009805E6" w:rsidP="009805E6">
      <w:pPr>
        <w:pStyle w:val="Literaturverzeichnis"/>
        <w:rPr>
          <w:rFonts w:cs="Arial"/>
          <w:lang w:val="en-US"/>
        </w:rPr>
      </w:pPr>
      <w:r w:rsidRPr="009805E6">
        <w:rPr>
          <w:rFonts w:cs="Arial"/>
          <w:lang w:val="en-US"/>
        </w:rPr>
        <w:t xml:space="preserve">Kayali, N. (2023). “Does this make sense?”: The effect of matching guise in regional accent on grammatical acceptability judgments. </w:t>
      </w:r>
      <w:r w:rsidRPr="009805E6">
        <w:rPr>
          <w:rFonts w:cs="Arial"/>
          <w:i/>
          <w:iCs/>
          <w:lang w:val="en-US"/>
        </w:rPr>
        <w:t>Proceedings of the Linguistic Society of America</w:t>
      </w:r>
      <w:r w:rsidRPr="009805E6">
        <w:rPr>
          <w:rFonts w:cs="Arial"/>
          <w:lang w:val="en-US"/>
        </w:rPr>
        <w:t xml:space="preserve">, </w:t>
      </w:r>
      <w:r w:rsidRPr="009805E6">
        <w:rPr>
          <w:rFonts w:cs="Arial"/>
          <w:i/>
          <w:iCs/>
          <w:lang w:val="en-US"/>
        </w:rPr>
        <w:t>8</w:t>
      </w:r>
      <w:r w:rsidRPr="009805E6">
        <w:rPr>
          <w:rFonts w:cs="Arial"/>
          <w:lang w:val="en-US"/>
        </w:rPr>
        <w:t>, 5525. https://doi.org/10.3765/plsa.v8i1.5525</w:t>
      </w:r>
    </w:p>
    <w:p w14:paraId="1F5A9736" w14:textId="77777777" w:rsidR="009805E6" w:rsidRPr="009805E6" w:rsidRDefault="009805E6" w:rsidP="009805E6">
      <w:pPr>
        <w:pStyle w:val="Literaturverzeichnis"/>
        <w:rPr>
          <w:rFonts w:cs="Arial"/>
          <w:lang w:val="en-US"/>
        </w:rPr>
      </w:pPr>
      <w:proofErr w:type="spellStart"/>
      <w:r w:rsidRPr="009805E6">
        <w:rPr>
          <w:rFonts w:cs="Arial"/>
          <w:lang w:val="en-US"/>
        </w:rPr>
        <w:t>Krifka</w:t>
      </w:r>
      <w:proofErr w:type="spellEnd"/>
      <w:r w:rsidRPr="009805E6">
        <w:rPr>
          <w:rFonts w:cs="Arial"/>
          <w:lang w:val="en-US"/>
        </w:rPr>
        <w:t xml:space="preserve">, M. (2008). Basic notions of information structure. </w:t>
      </w:r>
      <w:r w:rsidRPr="009805E6">
        <w:rPr>
          <w:rFonts w:cs="Arial"/>
          <w:i/>
          <w:iCs/>
          <w:lang w:val="en-US"/>
        </w:rPr>
        <w:t xml:space="preserve">Acta </w:t>
      </w:r>
      <w:proofErr w:type="spellStart"/>
      <w:r w:rsidRPr="009805E6">
        <w:rPr>
          <w:rFonts w:cs="Arial"/>
          <w:i/>
          <w:iCs/>
          <w:lang w:val="en-US"/>
        </w:rPr>
        <w:t>Linguistica</w:t>
      </w:r>
      <w:proofErr w:type="spellEnd"/>
      <w:r w:rsidRPr="009805E6">
        <w:rPr>
          <w:rFonts w:cs="Arial"/>
          <w:i/>
          <w:iCs/>
          <w:lang w:val="en-US"/>
        </w:rPr>
        <w:t xml:space="preserve"> </w:t>
      </w:r>
      <w:proofErr w:type="spellStart"/>
      <w:r w:rsidRPr="009805E6">
        <w:rPr>
          <w:rFonts w:cs="Arial"/>
          <w:i/>
          <w:iCs/>
          <w:lang w:val="en-US"/>
        </w:rPr>
        <w:t>Hungarica</w:t>
      </w:r>
      <w:proofErr w:type="spellEnd"/>
      <w:r w:rsidRPr="009805E6">
        <w:rPr>
          <w:rFonts w:cs="Arial"/>
          <w:lang w:val="en-US"/>
        </w:rPr>
        <w:t xml:space="preserve">, </w:t>
      </w:r>
      <w:r w:rsidRPr="009805E6">
        <w:rPr>
          <w:rFonts w:cs="Arial"/>
          <w:i/>
          <w:iCs/>
          <w:lang w:val="en-US"/>
        </w:rPr>
        <w:t>55</w:t>
      </w:r>
      <w:r w:rsidRPr="009805E6">
        <w:rPr>
          <w:rFonts w:cs="Arial"/>
          <w:lang w:val="en-US"/>
        </w:rPr>
        <w:t>(3–4), 243–276. https://doi.org/10.1556/ALing.55.2008.3-4.2</w:t>
      </w:r>
    </w:p>
    <w:p w14:paraId="7167B78C" w14:textId="77777777" w:rsidR="009805E6" w:rsidRPr="009805E6" w:rsidRDefault="009805E6" w:rsidP="009805E6">
      <w:pPr>
        <w:pStyle w:val="Literaturverzeichnis"/>
        <w:rPr>
          <w:rFonts w:cs="Arial"/>
          <w:lang w:val="en-US"/>
        </w:rPr>
      </w:pPr>
      <w:r w:rsidRPr="009805E6">
        <w:rPr>
          <w:rFonts w:cs="Arial"/>
          <w:lang w:val="en-US"/>
        </w:rPr>
        <w:lastRenderedPageBreak/>
        <w:t xml:space="preserve">Lambrecht, K. (1994). </w:t>
      </w:r>
      <w:r w:rsidRPr="009805E6">
        <w:rPr>
          <w:rFonts w:cs="Arial"/>
          <w:i/>
          <w:iCs/>
          <w:lang w:val="en-US"/>
        </w:rPr>
        <w:t>Information structure and sentence form: Topic, focus, and the mental representations of discourse referents</w:t>
      </w:r>
      <w:r w:rsidRPr="009805E6">
        <w:rPr>
          <w:rFonts w:cs="Arial"/>
          <w:lang w:val="en-US"/>
        </w:rPr>
        <w:t>. Cambridge University Press.</w:t>
      </w:r>
    </w:p>
    <w:p w14:paraId="32F97A42" w14:textId="77777777" w:rsidR="009805E6" w:rsidRPr="009805E6" w:rsidRDefault="009805E6" w:rsidP="009805E6">
      <w:pPr>
        <w:pStyle w:val="Literaturverzeichnis"/>
        <w:rPr>
          <w:rFonts w:cs="Arial"/>
          <w:lang w:val="en-US"/>
        </w:rPr>
      </w:pPr>
      <w:r w:rsidRPr="009805E6">
        <w:rPr>
          <w:rFonts w:cs="Arial"/>
          <w:lang w:val="en-US"/>
        </w:rPr>
        <w:t xml:space="preserve">Lobeck, A. C. (1995). </w:t>
      </w:r>
      <w:r w:rsidRPr="009805E6">
        <w:rPr>
          <w:rFonts w:cs="Arial"/>
          <w:i/>
          <w:iCs/>
          <w:lang w:val="en-US"/>
        </w:rPr>
        <w:t>Ellipsis: Functional heads, licensing, and identification</w:t>
      </w:r>
      <w:r w:rsidRPr="009805E6">
        <w:rPr>
          <w:rFonts w:cs="Arial"/>
          <w:lang w:val="en-US"/>
        </w:rPr>
        <w:t>. Oxford University Press.</w:t>
      </w:r>
    </w:p>
    <w:p w14:paraId="27D40E52" w14:textId="77777777" w:rsidR="009805E6" w:rsidRPr="009805E6" w:rsidRDefault="009805E6" w:rsidP="009805E6">
      <w:pPr>
        <w:pStyle w:val="Literaturverzeichnis"/>
        <w:rPr>
          <w:rFonts w:cs="Arial"/>
          <w:lang w:val="en-US"/>
        </w:rPr>
      </w:pPr>
      <w:r w:rsidRPr="009805E6">
        <w:rPr>
          <w:rFonts w:cs="Arial"/>
          <w:lang w:val="en-US"/>
        </w:rPr>
        <w:t xml:space="preserve">Merchant, J. (2005). Fragments and ellipsis. </w:t>
      </w:r>
      <w:r w:rsidRPr="009805E6">
        <w:rPr>
          <w:rFonts w:cs="Arial"/>
          <w:i/>
          <w:iCs/>
          <w:lang w:val="en-US"/>
        </w:rPr>
        <w:t>Linguistics and Philosophy</w:t>
      </w:r>
      <w:r w:rsidRPr="009805E6">
        <w:rPr>
          <w:rFonts w:cs="Arial"/>
          <w:lang w:val="en-US"/>
        </w:rPr>
        <w:t xml:space="preserve">, </w:t>
      </w:r>
      <w:r w:rsidRPr="009805E6">
        <w:rPr>
          <w:rFonts w:cs="Arial"/>
          <w:i/>
          <w:iCs/>
          <w:lang w:val="en-US"/>
        </w:rPr>
        <w:t>27</w:t>
      </w:r>
      <w:r w:rsidRPr="009805E6">
        <w:rPr>
          <w:rFonts w:cs="Arial"/>
          <w:lang w:val="en-US"/>
        </w:rPr>
        <w:t>(6), 661–738. https://doi.org/10.1007/s10988-005-7378-3</w:t>
      </w:r>
    </w:p>
    <w:p w14:paraId="0D361930" w14:textId="77777777" w:rsidR="009805E6" w:rsidRPr="009805E6" w:rsidRDefault="009805E6" w:rsidP="009805E6">
      <w:pPr>
        <w:pStyle w:val="Literaturverzeichnis"/>
        <w:rPr>
          <w:rFonts w:cs="Arial"/>
          <w:lang w:val="en-US"/>
        </w:rPr>
      </w:pPr>
      <w:r w:rsidRPr="009805E6">
        <w:rPr>
          <w:rFonts w:cs="Arial"/>
          <w:lang w:val="en-US"/>
        </w:rPr>
        <w:t xml:space="preserve">Merchant, J. (2019). Ellipsis: A survey of analytical approaches. In J. Van </w:t>
      </w:r>
      <w:proofErr w:type="spellStart"/>
      <w:r w:rsidRPr="009805E6">
        <w:rPr>
          <w:rFonts w:cs="Arial"/>
          <w:lang w:val="en-US"/>
        </w:rPr>
        <w:t>Craenenbroeck</w:t>
      </w:r>
      <w:proofErr w:type="spellEnd"/>
      <w:r w:rsidRPr="009805E6">
        <w:rPr>
          <w:rFonts w:cs="Arial"/>
          <w:lang w:val="en-US"/>
        </w:rPr>
        <w:t xml:space="preserve"> &amp; T. Temmerman (Eds.), </w:t>
      </w:r>
      <w:r w:rsidRPr="009805E6">
        <w:rPr>
          <w:rFonts w:cs="Arial"/>
          <w:i/>
          <w:iCs/>
          <w:lang w:val="en-US"/>
        </w:rPr>
        <w:t>The Oxford Handbook of Ellipsis</w:t>
      </w:r>
      <w:r w:rsidRPr="009805E6">
        <w:rPr>
          <w:rFonts w:cs="Arial"/>
          <w:lang w:val="en-US"/>
        </w:rPr>
        <w:t xml:space="preserve"> (1st ed., pp. 19–45). Oxford University Press. https://doi.org/10.1093/oxfordhb/9780198712398.013.2</w:t>
      </w:r>
    </w:p>
    <w:p w14:paraId="6F70FF28" w14:textId="77777777" w:rsidR="009805E6" w:rsidRPr="009805E6" w:rsidRDefault="009805E6" w:rsidP="009805E6">
      <w:pPr>
        <w:pStyle w:val="Literaturverzeichnis"/>
        <w:rPr>
          <w:rFonts w:cs="Arial"/>
          <w:lang w:val="en-US"/>
        </w:rPr>
      </w:pPr>
      <w:r w:rsidRPr="009805E6">
        <w:rPr>
          <w:rFonts w:cs="Arial"/>
          <w:lang w:val="en-US"/>
        </w:rPr>
        <w:t xml:space="preserve">Meurers, D., Ziai, R., Amaral, L., Boyd, A., Dimitrov, A., Metcalf, V., &amp; Ott, N. (2010). Enhancing Authentic Web Pages for Language Learners. </w:t>
      </w:r>
      <w:r w:rsidRPr="009805E6">
        <w:rPr>
          <w:rFonts w:cs="Arial"/>
          <w:i/>
          <w:iCs/>
          <w:lang w:val="en-US"/>
        </w:rPr>
        <w:t>Proceedings of the 5th Workshop on Innovative Use of NLP for Building Educational Applications, NAACL-HLT 2010</w:t>
      </w:r>
      <w:r w:rsidRPr="009805E6">
        <w:rPr>
          <w:rFonts w:cs="Arial"/>
          <w:lang w:val="en-US"/>
        </w:rPr>
        <w:t>, 10–18. http://purl.org/dm/papers/meurers-ziai-et-al-10.html</w:t>
      </w:r>
    </w:p>
    <w:p w14:paraId="5CF98EA0" w14:textId="77777777" w:rsidR="009805E6" w:rsidRPr="009805E6" w:rsidRDefault="009805E6" w:rsidP="009805E6">
      <w:pPr>
        <w:pStyle w:val="Literaturverzeichnis"/>
        <w:rPr>
          <w:rFonts w:cs="Arial"/>
          <w:lang w:val="en-US"/>
        </w:rPr>
      </w:pPr>
      <w:r w:rsidRPr="009805E6">
        <w:rPr>
          <w:rFonts w:cs="Arial"/>
          <w:lang w:val="en-US"/>
        </w:rPr>
        <w:t xml:space="preserve">Opitz, A., &amp; </w:t>
      </w:r>
      <w:proofErr w:type="spellStart"/>
      <w:r w:rsidRPr="009805E6">
        <w:rPr>
          <w:rFonts w:cs="Arial"/>
          <w:lang w:val="en-US"/>
        </w:rPr>
        <w:t>Bordag</w:t>
      </w:r>
      <w:proofErr w:type="spellEnd"/>
      <w:r w:rsidRPr="009805E6">
        <w:rPr>
          <w:rFonts w:cs="Arial"/>
          <w:lang w:val="en-US"/>
        </w:rPr>
        <w:t xml:space="preserve">, D. (2022). The Impact of Orthography on Lexical Access: The Case of Capitalization and Word Category Information in L1 and L2 German. </w:t>
      </w:r>
      <w:r w:rsidRPr="009805E6">
        <w:rPr>
          <w:rFonts w:cs="Arial"/>
          <w:i/>
          <w:iCs/>
          <w:lang w:val="en-US"/>
        </w:rPr>
        <w:t>Studies in Second Language Acquisition</w:t>
      </w:r>
      <w:r w:rsidRPr="009805E6">
        <w:rPr>
          <w:rFonts w:cs="Arial"/>
          <w:lang w:val="en-US"/>
        </w:rPr>
        <w:t xml:space="preserve">, </w:t>
      </w:r>
      <w:r w:rsidRPr="009805E6">
        <w:rPr>
          <w:rFonts w:cs="Arial"/>
          <w:i/>
          <w:iCs/>
          <w:lang w:val="en-US"/>
        </w:rPr>
        <w:t>44</w:t>
      </w:r>
      <w:r w:rsidRPr="009805E6">
        <w:rPr>
          <w:rFonts w:cs="Arial"/>
          <w:lang w:val="en-US"/>
        </w:rPr>
        <w:t>(4), 1194–1209. https://doi.org/10.1017/S0272263121000711</w:t>
      </w:r>
    </w:p>
    <w:p w14:paraId="6CE17BF2" w14:textId="77777777" w:rsidR="009805E6" w:rsidRPr="009805E6" w:rsidRDefault="009805E6" w:rsidP="009805E6">
      <w:pPr>
        <w:pStyle w:val="Literaturverzeichnis"/>
        <w:rPr>
          <w:rFonts w:cs="Arial"/>
          <w:lang w:val="en-US"/>
        </w:rPr>
      </w:pPr>
      <w:r w:rsidRPr="009805E6">
        <w:rPr>
          <w:rFonts w:cs="Arial"/>
          <w:lang w:val="en-US"/>
        </w:rPr>
        <w:t xml:space="preserve">Palan, S., &amp; </w:t>
      </w:r>
      <w:proofErr w:type="spellStart"/>
      <w:r w:rsidRPr="009805E6">
        <w:rPr>
          <w:rFonts w:cs="Arial"/>
          <w:lang w:val="en-US"/>
        </w:rPr>
        <w:t>Schitter</w:t>
      </w:r>
      <w:proofErr w:type="spellEnd"/>
      <w:r w:rsidRPr="009805E6">
        <w:rPr>
          <w:rFonts w:cs="Arial"/>
          <w:lang w:val="en-US"/>
        </w:rPr>
        <w:t xml:space="preserve">, C. (2018). Prolific.ac—A subject pool for online experiments. </w:t>
      </w:r>
      <w:r w:rsidRPr="009805E6">
        <w:rPr>
          <w:rFonts w:cs="Arial"/>
          <w:i/>
          <w:iCs/>
          <w:lang w:val="en-US"/>
        </w:rPr>
        <w:t>Journal of Behavioral and Experimental Finance</w:t>
      </w:r>
      <w:r w:rsidRPr="009805E6">
        <w:rPr>
          <w:rFonts w:cs="Arial"/>
          <w:lang w:val="en-US"/>
        </w:rPr>
        <w:t xml:space="preserve">, </w:t>
      </w:r>
      <w:r w:rsidRPr="009805E6">
        <w:rPr>
          <w:rFonts w:cs="Arial"/>
          <w:i/>
          <w:iCs/>
          <w:lang w:val="en-US"/>
        </w:rPr>
        <w:t>17</w:t>
      </w:r>
      <w:r w:rsidRPr="009805E6">
        <w:rPr>
          <w:rFonts w:cs="Arial"/>
          <w:lang w:val="en-US"/>
        </w:rPr>
        <w:t>, 22–27. https://doi.org/10.1016/j.jbef.2017.12.004</w:t>
      </w:r>
    </w:p>
    <w:p w14:paraId="215CDB5E" w14:textId="77777777" w:rsidR="009805E6" w:rsidRPr="009805E6" w:rsidRDefault="009805E6" w:rsidP="009805E6">
      <w:pPr>
        <w:pStyle w:val="Literaturverzeichnis"/>
        <w:rPr>
          <w:rFonts w:cs="Arial"/>
          <w:lang w:val="en-US"/>
        </w:rPr>
      </w:pPr>
      <w:r w:rsidRPr="009805E6">
        <w:rPr>
          <w:rFonts w:cs="Arial"/>
          <w:lang w:val="en-US"/>
        </w:rPr>
        <w:t xml:space="preserve">Phillips, C., &amp; Parker, D. (2014). The psycholinguistics of ellipsis. </w:t>
      </w:r>
      <w:r w:rsidRPr="009805E6">
        <w:rPr>
          <w:rFonts w:cs="Arial"/>
          <w:i/>
          <w:iCs/>
          <w:lang w:val="en-US"/>
        </w:rPr>
        <w:t>Lingua</w:t>
      </w:r>
      <w:r w:rsidRPr="009805E6">
        <w:rPr>
          <w:rFonts w:cs="Arial"/>
          <w:lang w:val="en-US"/>
        </w:rPr>
        <w:t xml:space="preserve">, </w:t>
      </w:r>
      <w:r w:rsidRPr="009805E6">
        <w:rPr>
          <w:rFonts w:cs="Arial"/>
          <w:i/>
          <w:iCs/>
          <w:lang w:val="en-US"/>
        </w:rPr>
        <w:t>151</w:t>
      </w:r>
      <w:r w:rsidRPr="009805E6">
        <w:rPr>
          <w:rFonts w:cs="Arial"/>
          <w:lang w:val="en-US"/>
        </w:rPr>
        <w:t>, 78–95. https://doi.org/10.1016/j.lingua.2013.10.003</w:t>
      </w:r>
    </w:p>
    <w:p w14:paraId="025860B8" w14:textId="77777777" w:rsidR="009805E6" w:rsidRPr="009805E6" w:rsidRDefault="009805E6" w:rsidP="009805E6">
      <w:pPr>
        <w:pStyle w:val="Literaturverzeichnis"/>
        <w:rPr>
          <w:rFonts w:cs="Arial"/>
          <w:lang w:val="en-US"/>
        </w:rPr>
      </w:pPr>
      <w:r w:rsidRPr="009805E6">
        <w:rPr>
          <w:rFonts w:cs="Arial"/>
          <w:i/>
          <w:iCs/>
          <w:lang w:val="en-US"/>
        </w:rPr>
        <w:lastRenderedPageBreak/>
        <w:t>Prolific Academic</w:t>
      </w:r>
      <w:r w:rsidRPr="009805E6">
        <w:rPr>
          <w:rFonts w:cs="Arial"/>
          <w:lang w:val="en-US"/>
        </w:rPr>
        <w:t>. (2019). [Computer software]. https://prolific.ac/</w:t>
      </w:r>
    </w:p>
    <w:p w14:paraId="138335D5" w14:textId="77777777" w:rsidR="009805E6" w:rsidRPr="009805E6" w:rsidRDefault="009805E6" w:rsidP="009805E6">
      <w:pPr>
        <w:pStyle w:val="Literaturverzeichnis"/>
        <w:rPr>
          <w:rFonts w:cs="Arial"/>
          <w:lang w:val="en-US"/>
        </w:rPr>
      </w:pPr>
      <w:r w:rsidRPr="009805E6">
        <w:rPr>
          <w:rFonts w:cs="Arial"/>
          <w:i/>
          <w:iCs/>
          <w:lang w:val="en-US"/>
        </w:rPr>
        <w:t>R Development Core Team</w:t>
      </w:r>
      <w:r w:rsidRPr="009805E6">
        <w:rPr>
          <w:rFonts w:cs="Arial"/>
          <w:lang w:val="en-US"/>
        </w:rPr>
        <w:t>. (2015). [Computer software]. http://www.r-project.org/</w:t>
      </w:r>
    </w:p>
    <w:p w14:paraId="2BB4EEB2" w14:textId="77777777" w:rsidR="009805E6" w:rsidRPr="009805E6" w:rsidRDefault="009805E6" w:rsidP="009805E6">
      <w:pPr>
        <w:pStyle w:val="Literaturverzeichnis"/>
        <w:rPr>
          <w:rFonts w:cs="Arial"/>
          <w:lang w:val="en-US"/>
        </w:rPr>
      </w:pPr>
      <w:r w:rsidRPr="009805E6">
        <w:rPr>
          <w:rFonts w:cs="Arial"/>
          <w:lang w:val="en-US"/>
        </w:rPr>
        <w:t xml:space="preserve">Rasekhi, V., &amp; Harris, J. A. (2021). Resolving ambiguous polarity stripping ellipsis structures in Persian. </w:t>
      </w:r>
      <w:r w:rsidRPr="009805E6">
        <w:rPr>
          <w:rFonts w:cs="Arial"/>
          <w:i/>
          <w:iCs/>
          <w:lang w:val="en-US"/>
        </w:rPr>
        <w:t>Glossa: A Journal of General Linguistics</w:t>
      </w:r>
      <w:r w:rsidRPr="009805E6">
        <w:rPr>
          <w:rFonts w:cs="Arial"/>
          <w:lang w:val="en-US"/>
        </w:rPr>
        <w:t xml:space="preserve">, </w:t>
      </w:r>
      <w:r w:rsidRPr="009805E6">
        <w:rPr>
          <w:rFonts w:cs="Arial"/>
          <w:i/>
          <w:iCs/>
          <w:lang w:val="en-US"/>
        </w:rPr>
        <w:t>6</w:t>
      </w:r>
      <w:r w:rsidRPr="009805E6">
        <w:rPr>
          <w:rFonts w:cs="Arial"/>
          <w:lang w:val="en-US"/>
        </w:rPr>
        <w:t>(1), 1–31. https://doi.org/10.16995/glossa.5881</w:t>
      </w:r>
    </w:p>
    <w:p w14:paraId="5735E3A0" w14:textId="77777777" w:rsidR="009805E6" w:rsidRPr="009805E6" w:rsidRDefault="009805E6" w:rsidP="009805E6">
      <w:pPr>
        <w:pStyle w:val="Literaturverzeichnis"/>
        <w:rPr>
          <w:rFonts w:cs="Arial"/>
          <w:lang w:val="en-US"/>
        </w:rPr>
      </w:pPr>
      <w:r w:rsidRPr="009805E6">
        <w:rPr>
          <w:rFonts w:cs="Arial"/>
          <w:lang w:val="en-US"/>
        </w:rPr>
        <w:t xml:space="preserve">Schütze, C. T. (2016). The empirical base of linguistics: Grammaticality judgments and linguistic methodology [Application/pdf]. </w:t>
      </w:r>
      <w:r w:rsidRPr="009805E6">
        <w:rPr>
          <w:rFonts w:cs="Arial"/>
          <w:i/>
          <w:iCs/>
          <w:lang w:val="en-US"/>
        </w:rPr>
        <w:t>Classics in Linguistics</w:t>
      </w:r>
      <w:r w:rsidRPr="009805E6">
        <w:rPr>
          <w:rFonts w:cs="Arial"/>
          <w:lang w:val="en-US"/>
        </w:rPr>
        <w:t>, 1.01 MB. https://doi.org/10.17169/LANGSCI.B89.100</w:t>
      </w:r>
    </w:p>
    <w:p w14:paraId="496A5D79" w14:textId="77777777" w:rsidR="009805E6" w:rsidRPr="009805E6" w:rsidRDefault="009805E6" w:rsidP="009805E6">
      <w:pPr>
        <w:pStyle w:val="Literaturverzeichnis"/>
        <w:rPr>
          <w:rFonts w:cs="Arial"/>
          <w:lang w:val="en-US"/>
        </w:rPr>
      </w:pPr>
      <w:proofErr w:type="spellStart"/>
      <w:r w:rsidRPr="009805E6">
        <w:rPr>
          <w:rFonts w:cs="Arial"/>
          <w:lang w:val="en-US"/>
        </w:rPr>
        <w:t>Sedarous</w:t>
      </w:r>
      <w:proofErr w:type="spellEnd"/>
      <w:r w:rsidRPr="009805E6">
        <w:rPr>
          <w:rFonts w:cs="Arial"/>
          <w:lang w:val="en-US"/>
        </w:rPr>
        <w:t xml:space="preserve">, Y., &amp; Namboodiripad, S. (2020). Using audio stimuli in acceptability judgment experiments. </w:t>
      </w:r>
      <w:r w:rsidRPr="009805E6">
        <w:rPr>
          <w:rFonts w:cs="Arial"/>
          <w:i/>
          <w:iCs/>
          <w:lang w:val="en-US"/>
        </w:rPr>
        <w:t>Language and Linguistics Compass</w:t>
      </w:r>
      <w:r w:rsidRPr="009805E6">
        <w:rPr>
          <w:rFonts w:cs="Arial"/>
          <w:lang w:val="en-US"/>
        </w:rPr>
        <w:t xml:space="preserve">, </w:t>
      </w:r>
      <w:r w:rsidRPr="009805E6">
        <w:rPr>
          <w:rFonts w:cs="Arial"/>
          <w:i/>
          <w:iCs/>
          <w:lang w:val="en-US"/>
        </w:rPr>
        <w:t>14</w:t>
      </w:r>
      <w:r w:rsidRPr="009805E6">
        <w:rPr>
          <w:rFonts w:cs="Arial"/>
          <w:lang w:val="en-US"/>
        </w:rPr>
        <w:t>(8), 1–21. https://doi.org/10.1111/lnc3.12377</w:t>
      </w:r>
    </w:p>
    <w:p w14:paraId="1090B776" w14:textId="77777777" w:rsidR="009805E6" w:rsidRPr="009805E6" w:rsidRDefault="009805E6" w:rsidP="009805E6">
      <w:pPr>
        <w:pStyle w:val="Literaturverzeichnis"/>
        <w:rPr>
          <w:rFonts w:cs="Arial"/>
          <w:lang w:val="en-US"/>
        </w:rPr>
      </w:pPr>
      <w:r w:rsidRPr="009805E6">
        <w:rPr>
          <w:rFonts w:cs="Arial"/>
          <w:lang w:val="en-US"/>
        </w:rPr>
        <w:t xml:space="preserve">Sprouse, J., Schütze, C. T., &amp; Almeida, D. (2013). A comparison of informal and formal acceptability judgments using a random sample from Linguistic Inquiry 2001–2010. </w:t>
      </w:r>
      <w:r w:rsidRPr="009805E6">
        <w:rPr>
          <w:rFonts w:cs="Arial"/>
          <w:i/>
          <w:iCs/>
          <w:lang w:val="en-US"/>
        </w:rPr>
        <w:t>Lingua</w:t>
      </w:r>
      <w:r w:rsidRPr="009805E6">
        <w:rPr>
          <w:rFonts w:cs="Arial"/>
          <w:lang w:val="en-US"/>
        </w:rPr>
        <w:t xml:space="preserve">, </w:t>
      </w:r>
      <w:r w:rsidRPr="009805E6">
        <w:rPr>
          <w:rFonts w:cs="Arial"/>
          <w:i/>
          <w:iCs/>
          <w:lang w:val="en-US"/>
        </w:rPr>
        <w:t>134</w:t>
      </w:r>
      <w:r w:rsidRPr="009805E6">
        <w:rPr>
          <w:rFonts w:cs="Arial"/>
          <w:lang w:val="en-US"/>
        </w:rPr>
        <w:t>, 219–248. https://doi.org/10.1016/j.lingua.2013.07.002</w:t>
      </w:r>
    </w:p>
    <w:p w14:paraId="1ADAEECE" w14:textId="77777777" w:rsidR="009805E6" w:rsidRPr="009805E6" w:rsidRDefault="009805E6" w:rsidP="009805E6">
      <w:pPr>
        <w:pStyle w:val="Literaturverzeichnis"/>
        <w:rPr>
          <w:rFonts w:cs="Arial"/>
          <w:lang w:val="en-US"/>
        </w:rPr>
      </w:pPr>
      <w:r w:rsidRPr="009805E6">
        <w:rPr>
          <w:rFonts w:cs="Arial"/>
          <w:lang w:val="en-US"/>
        </w:rPr>
        <w:t xml:space="preserve">Wagner, M. (2012). Focus and givenness: A unified approach. In I. Kučerová &amp; A. Neeleman (Eds.), </w:t>
      </w:r>
      <w:r w:rsidRPr="009805E6">
        <w:rPr>
          <w:rFonts w:cs="Arial"/>
          <w:i/>
          <w:iCs/>
          <w:lang w:val="en-US"/>
        </w:rPr>
        <w:t>Contrasts and Positions in Information Structure</w:t>
      </w:r>
      <w:r w:rsidRPr="009805E6">
        <w:rPr>
          <w:rFonts w:cs="Arial"/>
          <w:lang w:val="en-US"/>
        </w:rPr>
        <w:t xml:space="preserve"> (1st ed., pp. 102–147). Cambridge University Press. https://doi.org/10.1017/CBO9780511740084.007</w:t>
      </w:r>
    </w:p>
    <w:p w14:paraId="5C080C82" w14:textId="77777777" w:rsidR="009805E6" w:rsidRPr="009805E6" w:rsidRDefault="009805E6" w:rsidP="009805E6">
      <w:pPr>
        <w:pStyle w:val="Literaturverzeichnis"/>
        <w:rPr>
          <w:rFonts w:cs="Arial"/>
          <w:lang w:val="en-US"/>
        </w:rPr>
      </w:pPr>
      <w:r w:rsidRPr="009805E6">
        <w:rPr>
          <w:rFonts w:cs="Arial"/>
          <w:lang w:val="en-US"/>
        </w:rPr>
        <w:t xml:space="preserve">Wagner, P. S. (1999). The synthesis of German contrastive focus. </w:t>
      </w:r>
      <w:r w:rsidRPr="009805E6">
        <w:rPr>
          <w:rFonts w:cs="Arial"/>
          <w:i/>
          <w:iCs/>
          <w:lang w:val="en-US"/>
        </w:rPr>
        <w:t xml:space="preserve">Proceedings of the 14th </w:t>
      </w:r>
      <w:proofErr w:type="spellStart"/>
      <w:r w:rsidRPr="009805E6">
        <w:rPr>
          <w:rFonts w:cs="Arial"/>
          <w:i/>
          <w:iCs/>
          <w:lang w:val="en-US"/>
        </w:rPr>
        <w:t>ICPhS</w:t>
      </w:r>
      <w:proofErr w:type="spellEnd"/>
      <w:r w:rsidRPr="009805E6">
        <w:rPr>
          <w:rFonts w:cs="Arial"/>
          <w:lang w:val="en-US"/>
        </w:rPr>
        <w:t>, 1529–1532.</w:t>
      </w:r>
    </w:p>
    <w:p w14:paraId="3BD4AF7E" w14:textId="77777777" w:rsidR="009805E6" w:rsidRPr="009805E6" w:rsidRDefault="009805E6" w:rsidP="009805E6">
      <w:pPr>
        <w:pStyle w:val="Literaturverzeichnis"/>
        <w:rPr>
          <w:rFonts w:cs="Arial"/>
          <w:lang w:val="en-US"/>
        </w:rPr>
      </w:pPr>
      <w:r w:rsidRPr="009805E6">
        <w:rPr>
          <w:rFonts w:cs="Arial"/>
          <w:lang w:val="en-US"/>
        </w:rPr>
        <w:t xml:space="preserve">Wierzba, M., Brown, J. M. M., &amp; </w:t>
      </w:r>
      <w:proofErr w:type="spellStart"/>
      <w:r w:rsidRPr="009805E6">
        <w:rPr>
          <w:rFonts w:cs="Arial"/>
          <w:lang w:val="en-US"/>
        </w:rPr>
        <w:t>Fanselow</w:t>
      </w:r>
      <w:proofErr w:type="spellEnd"/>
      <w:r w:rsidRPr="009805E6">
        <w:rPr>
          <w:rFonts w:cs="Arial"/>
          <w:lang w:val="en-US"/>
        </w:rPr>
        <w:t xml:space="preserve">, G. (2023). The syntactic flexibility of German and English idioms: Evidence from acceptability </w:t>
      </w:r>
      <w:r w:rsidRPr="009805E6">
        <w:rPr>
          <w:rFonts w:cs="Arial"/>
          <w:lang w:val="en-US"/>
        </w:rPr>
        <w:lastRenderedPageBreak/>
        <w:t xml:space="preserve">rating experiments. </w:t>
      </w:r>
      <w:r w:rsidRPr="009805E6">
        <w:rPr>
          <w:rFonts w:cs="Arial"/>
          <w:i/>
          <w:iCs/>
          <w:lang w:val="en-US"/>
        </w:rPr>
        <w:t>Journal of Linguistics</w:t>
      </w:r>
      <w:r w:rsidRPr="009805E6">
        <w:rPr>
          <w:rFonts w:cs="Arial"/>
          <w:lang w:val="en-US"/>
        </w:rPr>
        <w:t>, 1–38. https://doi.org/10.1017/S0022226723000105</w:t>
      </w:r>
    </w:p>
    <w:p w14:paraId="695D4D90" w14:textId="77777777" w:rsidR="009805E6" w:rsidRPr="009805E6" w:rsidRDefault="009805E6" w:rsidP="009805E6">
      <w:pPr>
        <w:pStyle w:val="Literaturverzeichnis"/>
        <w:rPr>
          <w:rFonts w:cs="Arial"/>
        </w:rPr>
      </w:pPr>
      <w:r w:rsidRPr="009805E6">
        <w:rPr>
          <w:rFonts w:cs="Arial"/>
          <w:lang w:val="en-US"/>
        </w:rPr>
        <w:t xml:space="preserve">Winkler, S. (2019). Ellipsis and Prosody. In J. Van </w:t>
      </w:r>
      <w:proofErr w:type="spellStart"/>
      <w:r w:rsidRPr="009805E6">
        <w:rPr>
          <w:rFonts w:cs="Arial"/>
          <w:lang w:val="en-US"/>
        </w:rPr>
        <w:t>Craenenbroeck</w:t>
      </w:r>
      <w:proofErr w:type="spellEnd"/>
      <w:r w:rsidRPr="009805E6">
        <w:rPr>
          <w:rFonts w:cs="Arial"/>
          <w:lang w:val="en-US"/>
        </w:rPr>
        <w:t xml:space="preserve"> &amp; T. Temmerman (Eds.), </w:t>
      </w:r>
      <w:r w:rsidRPr="009805E6">
        <w:rPr>
          <w:rFonts w:cs="Arial"/>
          <w:i/>
          <w:iCs/>
          <w:lang w:val="en-US"/>
        </w:rPr>
        <w:t>The Oxford Handbook of Ellipsis</w:t>
      </w:r>
      <w:r w:rsidRPr="009805E6">
        <w:rPr>
          <w:rFonts w:cs="Arial"/>
          <w:lang w:val="en-US"/>
        </w:rPr>
        <w:t xml:space="preserve"> (1st ed., pp. 357–386). </w:t>
      </w:r>
      <w:r w:rsidRPr="009805E6">
        <w:rPr>
          <w:rFonts w:cs="Arial"/>
        </w:rPr>
        <w:t>Oxford University Press. https://doi.org/10.1093/oxfordhb/9780198712398.013.15</w:t>
      </w:r>
    </w:p>
    <w:p w14:paraId="4087753A" w14:textId="236A64AD"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43673253"/>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43673254"/>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46" w:name="_Toc143673255"/>
      <w:r w:rsidRPr="007D080B">
        <w:rPr>
          <w:rFonts w:cs="Arial"/>
        </w:rPr>
        <w:lastRenderedPageBreak/>
        <w:t xml:space="preserve">8.2 List of </w:t>
      </w:r>
      <w:r w:rsidR="005C23B6">
        <w:rPr>
          <w:rFonts w:cs="Arial"/>
        </w:rPr>
        <w:t>critical items</w:t>
      </w:r>
      <w:bookmarkEnd w:id="46"/>
    </w:p>
    <w:p w14:paraId="59E88656" w14:textId="03E693A0"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hyperlink r:id="rId27" w:history="1">
        <w:r w:rsidR="00475B4C" w:rsidRPr="00475B4C">
          <w:rPr>
            <w:rStyle w:val="Hyperlink"/>
            <w:color w:val="auto"/>
            <w:u w:val="none"/>
            <w:lang w:val="en-US"/>
          </w:rPr>
          <w:t>https://shorturl.at/JLSW9</w:t>
        </w:r>
      </w:hyperlink>
      <w:r w:rsidRPr="00475B4C">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47" w:name="_Toc143673256"/>
      <w:r w:rsidRPr="00D53C8C">
        <w:t>8.3 List of filler items</w:t>
      </w:r>
      <w:bookmarkEnd w:id="47"/>
    </w:p>
    <w:p w14:paraId="57D80452" w14:textId="2276479D"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hyperlink r:id="rId28"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2D3862">
      <w:pgSz w:w="11906" w:h="16838" w:code="9"/>
      <w:pgMar w:top="1418" w:right="1701" w:bottom="1418"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7BF5" w14:textId="77777777" w:rsidR="00D07822" w:rsidRDefault="00D07822" w:rsidP="00D0261B">
      <w:pPr>
        <w:spacing w:after="0" w:line="240" w:lineRule="auto"/>
      </w:pPr>
      <w:r>
        <w:separator/>
      </w:r>
    </w:p>
  </w:endnote>
  <w:endnote w:type="continuationSeparator" w:id="0">
    <w:p w14:paraId="3C184412" w14:textId="77777777" w:rsidR="00D07822" w:rsidRDefault="00D0782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E074" w14:textId="37492761" w:rsidR="00196917" w:rsidRDefault="00196917" w:rsidP="00196917">
    <w:pPr>
      <w:pStyle w:val="Fuzeile"/>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8128" w14:textId="77777777" w:rsidR="00D07822" w:rsidRDefault="00D07822" w:rsidP="00D0261B">
      <w:pPr>
        <w:spacing w:after="0" w:line="240" w:lineRule="auto"/>
      </w:pPr>
      <w:r>
        <w:separator/>
      </w:r>
    </w:p>
  </w:footnote>
  <w:footnote w:type="continuationSeparator" w:id="0">
    <w:p w14:paraId="6D65C2D7" w14:textId="77777777" w:rsidR="00D07822" w:rsidRDefault="00D07822" w:rsidP="00D0261B">
      <w:pPr>
        <w:spacing w:after="0" w:line="240" w:lineRule="auto"/>
      </w:pPr>
      <w:r>
        <w:continuationSeparator/>
      </w:r>
    </w:p>
  </w:footnote>
  <w:footnote w:id="1">
    <w:p w14:paraId="164C0162" w14:textId="1314C353" w:rsidR="00D52F75" w:rsidRPr="00D52F75" w:rsidRDefault="00D52F75">
      <w:pPr>
        <w:pStyle w:val="Funotentext"/>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0534"/>
    <w:rsid w:val="000427A8"/>
    <w:rsid w:val="00044FD5"/>
    <w:rsid w:val="000450DB"/>
    <w:rsid w:val="00045940"/>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524D"/>
    <w:rsid w:val="001574BE"/>
    <w:rsid w:val="0016277C"/>
    <w:rsid w:val="00163015"/>
    <w:rsid w:val="00163037"/>
    <w:rsid w:val="00163935"/>
    <w:rsid w:val="0016617B"/>
    <w:rsid w:val="001669E8"/>
    <w:rsid w:val="001678CC"/>
    <w:rsid w:val="00171017"/>
    <w:rsid w:val="0017347C"/>
    <w:rsid w:val="00174F00"/>
    <w:rsid w:val="0017577A"/>
    <w:rsid w:val="001774EE"/>
    <w:rsid w:val="00181102"/>
    <w:rsid w:val="00181216"/>
    <w:rsid w:val="00181E8E"/>
    <w:rsid w:val="001831DB"/>
    <w:rsid w:val="001849E0"/>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1CA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D7B"/>
    <w:rsid w:val="002C2F95"/>
    <w:rsid w:val="002C3326"/>
    <w:rsid w:val="002C3943"/>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A72"/>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5709E"/>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5B4C"/>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1240"/>
    <w:rsid w:val="004D233B"/>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B0"/>
    <w:rsid w:val="006409D3"/>
    <w:rsid w:val="00641FDE"/>
    <w:rsid w:val="00642E06"/>
    <w:rsid w:val="00643426"/>
    <w:rsid w:val="00643A06"/>
    <w:rsid w:val="00643BD0"/>
    <w:rsid w:val="006500A3"/>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CAA"/>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8F2"/>
    <w:rsid w:val="006D7E14"/>
    <w:rsid w:val="006D7E8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1A2"/>
    <w:rsid w:val="008B4E54"/>
    <w:rsid w:val="008B4F7B"/>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536D"/>
    <w:rsid w:val="008E5576"/>
    <w:rsid w:val="008E606B"/>
    <w:rsid w:val="008E6FD4"/>
    <w:rsid w:val="008E7C3F"/>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AED"/>
    <w:rsid w:val="00976D42"/>
    <w:rsid w:val="009777A9"/>
    <w:rsid w:val="00977BBE"/>
    <w:rsid w:val="009805E6"/>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1F64"/>
    <w:rsid w:val="00A829F7"/>
    <w:rsid w:val="00A83015"/>
    <w:rsid w:val="00A83239"/>
    <w:rsid w:val="00A840AD"/>
    <w:rsid w:val="00A84DC3"/>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149C"/>
    <w:rsid w:val="00B1229C"/>
    <w:rsid w:val="00B12E66"/>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5349"/>
    <w:rsid w:val="00CA6916"/>
    <w:rsid w:val="00CB04A0"/>
    <w:rsid w:val="00CB0909"/>
    <w:rsid w:val="00CB1507"/>
    <w:rsid w:val="00CB252D"/>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18EF"/>
    <w:rsid w:val="00F81DBF"/>
    <w:rsid w:val="00F83B37"/>
    <w:rsid w:val="00F84832"/>
    <w:rsid w:val="00F85505"/>
    <w:rsid w:val="00F85DE6"/>
    <w:rsid w:val="00F85FB0"/>
    <w:rsid w:val="00F8640C"/>
    <w:rsid w:val="00F86843"/>
    <w:rsid w:val="00F86CF2"/>
    <w:rsid w:val="00F86F80"/>
    <w:rsid w:val="00F87B8C"/>
    <w:rsid w:val="00F934EA"/>
    <w:rsid w:val="00F94908"/>
    <w:rsid w:val="00F958A0"/>
    <w:rsid w:val="00FA002F"/>
    <w:rsid w:val="00FA028F"/>
    <w:rsid w:val="00FA0BD8"/>
    <w:rsid w:val="00FA0C59"/>
    <w:rsid w:val="00FA1C46"/>
    <w:rsid w:val="00FA3AEB"/>
    <w:rsid w:val="00FA498E"/>
    <w:rsid w:val="00FA4B65"/>
    <w:rsid w:val="00FA4D96"/>
    <w:rsid w:val="00FA63C9"/>
    <w:rsid w:val="00FA646A"/>
    <w:rsid w:val="00FA6FB9"/>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39D"/>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horturl.at/fiDL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praatvocaltoolkit.com/normalize.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shorturl.at/drFO0"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horturl.at/oxJRU" TargetMode="External"/><Relationship Id="rId22" Type="http://schemas.openxmlformats.org/officeDocument/2006/relationships/image" Target="media/image6.png"/><Relationship Id="rId27" Type="http://schemas.openxmlformats.org/officeDocument/2006/relationships/hyperlink" Target="https://shorturl.at/JLSW9"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33725</Words>
  <Characters>192235</Characters>
  <Application>Microsoft Office Word</Application>
  <DocSecurity>0</DocSecurity>
  <Lines>1601</Lines>
  <Paragraphs>451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532</cp:revision>
  <cp:lastPrinted>2023-08-23T11:43:00Z</cp:lastPrinted>
  <dcterms:created xsi:type="dcterms:W3CDTF">2023-06-20T09:43:00Z</dcterms:created>
  <dcterms:modified xsi:type="dcterms:W3CDTF">2023-08-23T11:43:00Z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id="j0EMwp1l"/&gt;&lt;style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