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940F1" w:rsidRDefault="00257634" w:rsidP="006C170E">
      <w:pPr>
        <w:suppressLineNumbers/>
        <w:spacing w:after="0" w:line="360" w:lineRule="auto"/>
        <w:jc w:val="center"/>
        <w:rPr>
          <w:rFonts w:cs="Arial"/>
          <w:szCs w:val="24"/>
        </w:rPr>
      </w:pPr>
      <w:r w:rsidRPr="006940F1">
        <w:rPr>
          <w:rFonts w:cs="Arial"/>
          <w:szCs w:val="24"/>
        </w:rPr>
        <w:t>Miriam Schiele</w:t>
      </w:r>
    </w:p>
    <w:p w14:paraId="75E54B00" w14:textId="77777777" w:rsidR="00B225D6" w:rsidRPr="006940F1" w:rsidRDefault="00B225D6" w:rsidP="006C170E">
      <w:pPr>
        <w:suppressLineNumbers/>
        <w:spacing w:after="0" w:line="360" w:lineRule="auto"/>
        <w:jc w:val="center"/>
        <w:rPr>
          <w:rFonts w:cs="Arial"/>
          <w:szCs w:val="24"/>
        </w:rPr>
      </w:pPr>
      <w:r w:rsidRPr="006940F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2"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72DAA6C" w14:textId="4914BF82" w:rsidR="00782BE2"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82BE2" w:rsidRPr="001C7FC0">
        <w:rPr>
          <w:rFonts w:cs="Arial"/>
          <w:noProof/>
          <w:lang w:val="en-US"/>
        </w:rPr>
        <w:t>1. Introduction</w:t>
      </w:r>
      <w:r w:rsidR="00782BE2" w:rsidRPr="00782BE2">
        <w:rPr>
          <w:noProof/>
          <w:lang w:val="en-US"/>
        </w:rPr>
        <w:tab/>
      </w:r>
      <w:r w:rsidR="00782BE2">
        <w:rPr>
          <w:noProof/>
        </w:rPr>
        <w:fldChar w:fldCharType="begin"/>
      </w:r>
      <w:r w:rsidR="00782BE2" w:rsidRPr="00782BE2">
        <w:rPr>
          <w:noProof/>
          <w:lang w:val="en-US"/>
        </w:rPr>
        <w:instrText xml:space="preserve"> PAGEREF _Toc143510583 \h </w:instrText>
      </w:r>
      <w:r w:rsidR="00782BE2">
        <w:rPr>
          <w:noProof/>
        </w:rPr>
      </w:r>
      <w:r w:rsidR="00782BE2">
        <w:rPr>
          <w:noProof/>
        </w:rPr>
        <w:fldChar w:fldCharType="separate"/>
      </w:r>
      <w:r w:rsidR="00782BE2">
        <w:rPr>
          <w:noProof/>
          <w:lang w:val="en-US"/>
        </w:rPr>
        <w:t>6</w:t>
      </w:r>
      <w:r w:rsidR="00782BE2">
        <w:rPr>
          <w:noProof/>
        </w:rPr>
        <w:fldChar w:fldCharType="end"/>
      </w:r>
    </w:p>
    <w:p w14:paraId="4DEF9E91" w14:textId="78E6B13F"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1.1 Background and motivation</w:t>
      </w:r>
      <w:r w:rsidRPr="00782BE2">
        <w:rPr>
          <w:noProof/>
          <w:lang w:val="en-US"/>
        </w:rPr>
        <w:tab/>
      </w:r>
      <w:r>
        <w:rPr>
          <w:noProof/>
        </w:rPr>
        <w:fldChar w:fldCharType="begin"/>
      </w:r>
      <w:r w:rsidRPr="00782BE2">
        <w:rPr>
          <w:noProof/>
          <w:lang w:val="en-US"/>
        </w:rPr>
        <w:instrText xml:space="preserve"> PAGEREF _Toc143510584 \h </w:instrText>
      </w:r>
      <w:r>
        <w:rPr>
          <w:noProof/>
        </w:rPr>
      </w:r>
      <w:r>
        <w:rPr>
          <w:noProof/>
        </w:rPr>
        <w:fldChar w:fldCharType="separate"/>
      </w:r>
      <w:r>
        <w:rPr>
          <w:noProof/>
          <w:lang w:val="en-US"/>
        </w:rPr>
        <w:t>6</w:t>
      </w:r>
      <w:r>
        <w:rPr>
          <w:noProof/>
        </w:rPr>
        <w:fldChar w:fldCharType="end"/>
      </w:r>
    </w:p>
    <w:p w14:paraId="7CA2F664" w14:textId="116CC551"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1.2 Research questions and objectives</w:t>
      </w:r>
      <w:r w:rsidRPr="00782BE2">
        <w:rPr>
          <w:noProof/>
          <w:lang w:val="en-US"/>
        </w:rPr>
        <w:tab/>
      </w:r>
      <w:r>
        <w:rPr>
          <w:noProof/>
        </w:rPr>
        <w:fldChar w:fldCharType="begin"/>
      </w:r>
      <w:r w:rsidRPr="00782BE2">
        <w:rPr>
          <w:noProof/>
          <w:lang w:val="en-US"/>
        </w:rPr>
        <w:instrText xml:space="preserve"> PAGEREF _Toc143510585 \h </w:instrText>
      </w:r>
      <w:r>
        <w:rPr>
          <w:noProof/>
        </w:rPr>
      </w:r>
      <w:r>
        <w:rPr>
          <w:noProof/>
        </w:rPr>
        <w:fldChar w:fldCharType="separate"/>
      </w:r>
      <w:r>
        <w:rPr>
          <w:noProof/>
          <w:lang w:val="en-US"/>
        </w:rPr>
        <w:t>7</w:t>
      </w:r>
      <w:r>
        <w:rPr>
          <w:noProof/>
        </w:rPr>
        <w:fldChar w:fldCharType="end"/>
      </w:r>
    </w:p>
    <w:p w14:paraId="12D352BE" w14:textId="1D93CF45"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1.3 Significance of the study</w:t>
      </w:r>
      <w:r w:rsidRPr="00782BE2">
        <w:rPr>
          <w:noProof/>
          <w:lang w:val="en-US"/>
        </w:rPr>
        <w:tab/>
      </w:r>
      <w:r>
        <w:rPr>
          <w:noProof/>
        </w:rPr>
        <w:fldChar w:fldCharType="begin"/>
      </w:r>
      <w:r w:rsidRPr="00782BE2">
        <w:rPr>
          <w:noProof/>
          <w:lang w:val="en-US"/>
        </w:rPr>
        <w:instrText xml:space="preserve"> PAGEREF _Toc143510586 \h </w:instrText>
      </w:r>
      <w:r>
        <w:rPr>
          <w:noProof/>
        </w:rPr>
      </w:r>
      <w:r>
        <w:rPr>
          <w:noProof/>
        </w:rPr>
        <w:fldChar w:fldCharType="separate"/>
      </w:r>
      <w:r>
        <w:rPr>
          <w:noProof/>
          <w:lang w:val="en-US"/>
        </w:rPr>
        <w:t>9</w:t>
      </w:r>
      <w:r>
        <w:rPr>
          <w:noProof/>
        </w:rPr>
        <w:fldChar w:fldCharType="end"/>
      </w:r>
    </w:p>
    <w:p w14:paraId="5019F29A" w14:textId="27DFAF0A"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1.4 Scope and limitations</w:t>
      </w:r>
      <w:r w:rsidRPr="00782BE2">
        <w:rPr>
          <w:noProof/>
          <w:lang w:val="en-US"/>
        </w:rPr>
        <w:tab/>
      </w:r>
      <w:r>
        <w:rPr>
          <w:noProof/>
        </w:rPr>
        <w:fldChar w:fldCharType="begin"/>
      </w:r>
      <w:r w:rsidRPr="00782BE2">
        <w:rPr>
          <w:noProof/>
          <w:lang w:val="en-US"/>
        </w:rPr>
        <w:instrText xml:space="preserve"> PAGEREF _Toc143510587 \h </w:instrText>
      </w:r>
      <w:r>
        <w:rPr>
          <w:noProof/>
        </w:rPr>
      </w:r>
      <w:r>
        <w:rPr>
          <w:noProof/>
        </w:rPr>
        <w:fldChar w:fldCharType="separate"/>
      </w:r>
      <w:r>
        <w:rPr>
          <w:noProof/>
          <w:lang w:val="en-US"/>
        </w:rPr>
        <w:t>10</w:t>
      </w:r>
      <w:r>
        <w:rPr>
          <w:noProof/>
        </w:rPr>
        <w:fldChar w:fldCharType="end"/>
      </w:r>
    </w:p>
    <w:p w14:paraId="0E7CE4E6" w14:textId="13AF5785"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2. Literary review</w:t>
      </w:r>
      <w:r w:rsidRPr="00782BE2">
        <w:rPr>
          <w:noProof/>
          <w:lang w:val="en-US"/>
        </w:rPr>
        <w:tab/>
      </w:r>
      <w:r>
        <w:rPr>
          <w:noProof/>
        </w:rPr>
        <w:fldChar w:fldCharType="begin"/>
      </w:r>
      <w:r w:rsidRPr="00782BE2">
        <w:rPr>
          <w:noProof/>
          <w:lang w:val="en-US"/>
        </w:rPr>
        <w:instrText xml:space="preserve"> PAGEREF _Toc143510588 \h </w:instrText>
      </w:r>
      <w:r>
        <w:rPr>
          <w:noProof/>
        </w:rPr>
      </w:r>
      <w:r>
        <w:rPr>
          <w:noProof/>
        </w:rPr>
        <w:fldChar w:fldCharType="separate"/>
      </w:r>
      <w:r>
        <w:rPr>
          <w:noProof/>
          <w:lang w:val="en-US"/>
        </w:rPr>
        <w:t>11</w:t>
      </w:r>
      <w:r>
        <w:rPr>
          <w:noProof/>
        </w:rPr>
        <w:fldChar w:fldCharType="end"/>
      </w:r>
    </w:p>
    <w:p w14:paraId="6866150F" w14:textId="21EE4599"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2.1 Fragment theory and its linguistic foundations</w:t>
      </w:r>
      <w:r w:rsidRPr="00782BE2">
        <w:rPr>
          <w:noProof/>
          <w:lang w:val="en-US"/>
        </w:rPr>
        <w:tab/>
      </w:r>
      <w:r>
        <w:rPr>
          <w:noProof/>
        </w:rPr>
        <w:fldChar w:fldCharType="begin"/>
      </w:r>
      <w:r w:rsidRPr="00782BE2">
        <w:rPr>
          <w:noProof/>
          <w:lang w:val="en-US"/>
        </w:rPr>
        <w:instrText xml:space="preserve"> PAGEREF _Toc143510589 \h </w:instrText>
      </w:r>
      <w:r>
        <w:rPr>
          <w:noProof/>
        </w:rPr>
      </w:r>
      <w:r>
        <w:rPr>
          <w:noProof/>
        </w:rPr>
        <w:fldChar w:fldCharType="separate"/>
      </w:r>
      <w:r>
        <w:rPr>
          <w:noProof/>
          <w:lang w:val="en-US"/>
        </w:rPr>
        <w:t>11</w:t>
      </w:r>
      <w:r>
        <w:rPr>
          <w:noProof/>
        </w:rPr>
        <w:fldChar w:fldCharType="end"/>
      </w:r>
    </w:p>
    <w:p w14:paraId="2F42C18F" w14:textId="4A41CBBB"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2.2 Contrastive focus</w:t>
      </w:r>
      <w:r w:rsidRPr="00782BE2">
        <w:rPr>
          <w:noProof/>
          <w:lang w:val="en-US"/>
        </w:rPr>
        <w:tab/>
      </w:r>
      <w:r>
        <w:rPr>
          <w:noProof/>
        </w:rPr>
        <w:fldChar w:fldCharType="begin"/>
      </w:r>
      <w:r w:rsidRPr="00782BE2">
        <w:rPr>
          <w:noProof/>
          <w:lang w:val="en-US"/>
        </w:rPr>
        <w:instrText xml:space="preserve"> PAGEREF _Toc143510590 \h </w:instrText>
      </w:r>
      <w:r>
        <w:rPr>
          <w:noProof/>
        </w:rPr>
      </w:r>
      <w:r>
        <w:rPr>
          <w:noProof/>
        </w:rPr>
        <w:fldChar w:fldCharType="separate"/>
      </w:r>
      <w:r>
        <w:rPr>
          <w:noProof/>
          <w:lang w:val="en-US"/>
        </w:rPr>
        <w:t>12</w:t>
      </w:r>
      <w:r>
        <w:rPr>
          <w:noProof/>
        </w:rPr>
        <w:fldChar w:fldCharType="end"/>
      </w:r>
    </w:p>
    <w:p w14:paraId="2F084E03" w14:textId="60D2B605"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2.3 The comprehension of fragmentary answers</w:t>
      </w:r>
      <w:r w:rsidRPr="00782BE2">
        <w:rPr>
          <w:noProof/>
          <w:lang w:val="en-US"/>
        </w:rPr>
        <w:tab/>
      </w:r>
      <w:r>
        <w:rPr>
          <w:noProof/>
        </w:rPr>
        <w:fldChar w:fldCharType="begin"/>
      </w:r>
      <w:r w:rsidRPr="00782BE2">
        <w:rPr>
          <w:noProof/>
          <w:lang w:val="en-US"/>
        </w:rPr>
        <w:instrText xml:space="preserve"> PAGEREF _Toc143510591 \h </w:instrText>
      </w:r>
      <w:r>
        <w:rPr>
          <w:noProof/>
        </w:rPr>
      </w:r>
      <w:r>
        <w:rPr>
          <w:noProof/>
        </w:rPr>
        <w:fldChar w:fldCharType="separate"/>
      </w:r>
      <w:r>
        <w:rPr>
          <w:noProof/>
          <w:lang w:val="en-US"/>
        </w:rPr>
        <w:t>14</w:t>
      </w:r>
      <w:r>
        <w:rPr>
          <w:noProof/>
        </w:rPr>
        <w:fldChar w:fldCharType="end"/>
      </w:r>
    </w:p>
    <w:p w14:paraId="6CA5925E" w14:textId="57AEEAC2"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2.4 Acceptability judgment tasks (AJTs) in linguistics</w:t>
      </w:r>
      <w:r w:rsidRPr="00782BE2">
        <w:rPr>
          <w:noProof/>
          <w:lang w:val="en-US"/>
        </w:rPr>
        <w:tab/>
      </w:r>
      <w:r>
        <w:rPr>
          <w:noProof/>
        </w:rPr>
        <w:fldChar w:fldCharType="begin"/>
      </w:r>
      <w:r w:rsidRPr="00782BE2">
        <w:rPr>
          <w:noProof/>
          <w:lang w:val="en-US"/>
        </w:rPr>
        <w:instrText xml:space="preserve"> PAGEREF _Toc143510592 \h </w:instrText>
      </w:r>
      <w:r>
        <w:rPr>
          <w:noProof/>
        </w:rPr>
      </w:r>
      <w:r>
        <w:rPr>
          <w:noProof/>
        </w:rPr>
        <w:fldChar w:fldCharType="separate"/>
      </w:r>
      <w:r>
        <w:rPr>
          <w:noProof/>
          <w:lang w:val="en-US"/>
        </w:rPr>
        <w:t>19</w:t>
      </w:r>
      <w:r>
        <w:rPr>
          <w:noProof/>
        </w:rPr>
        <w:fldChar w:fldCharType="end"/>
      </w:r>
    </w:p>
    <w:p w14:paraId="26ED12B7" w14:textId="436ACB7C" w:rsidR="00782BE2" w:rsidRDefault="00782BE2">
      <w:pPr>
        <w:pStyle w:val="Verzeichnis1"/>
        <w:rPr>
          <w:rFonts w:asciiTheme="minorHAnsi" w:eastAsiaTheme="minorEastAsia" w:hAnsiTheme="minorHAnsi"/>
          <w:noProof/>
          <w:kern w:val="2"/>
          <w:sz w:val="22"/>
          <w:lang w:val="en-US"/>
          <w14:ligatures w14:val="standardContextual"/>
        </w:rPr>
      </w:pPr>
      <w:r w:rsidRPr="001C7FC0">
        <w:rPr>
          <w:noProof/>
          <w:lang w:val="en-US"/>
        </w:rPr>
        <w:t>3. Data and method</w:t>
      </w:r>
      <w:r w:rsidRPr="00782BE2">
        <w:rPr>
          <w:noProof/>
          <w:lang w:val="en-US"/>
        </w:rPr>
        <w:tab/>
      </w:r>
      <w:r>
        <w:rPr>
          <w:noProof/>
        </w:rPr>
        <w:fldChar w:fldCharType="begin"/>
      </w:r>
      <w:r w:rsidRPr="00782BE2">
        <w:rPr>
          <w:noProof/>
          <w:lang w:val="en-US"/>
        </w:rPr>
        <w:instrText xml:space="preserve"> PAGEREF _Toc143510593 \h </w:instrText>
      </w:r>
      <w:r>
        <w:rPr>
          <w:noProof/>
        </w:rPr>
      </w:r>
      <w:r>
        <w:rPr>
          <w:noProof/>
        </w:rPr>
        <w:fldChar w:fldCharType="separate"/>
      </w:r>
      <w:r>
        <w:rPr>
          <w:noProof/>
          <w:lang w:val="en-US"/>
        </w:rPr>
        <w:t>21</w:t>
      </w:r>
      <w:r>
        <w:rPr>
          <w:noProof/>
        </w:rPr>
        <w:fldChar w:fldCharType="end"/>
      </w:r>
    </w:p>
    <w:p w14:paraId="6FF3C5FA" w14:textId="5D721A71"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3.1 Study design</w:t>
      </w:r>
      <w:r w:rsidRPr="00782BE2">
        <w:rPr>
          <w:noProof/>
          <w:lang w:val="en-US"/>
        </w:rPr>
        <w:tab/>
      </w:r>
      <w:r>
        <w:rPr>
          <w:noProof/>
        </w:rPr>
        <w:fldChar w:fldCharType="begin"/>
      </w:r>
      <w:r w:rsidRPr="00782BE2">
        <w:rPr>
          <w:noProof/>
          <w:lang w:val="en-US"/>
        </w:rPr>
        <w:instrText xml:space="preserve"> PAGEREF _Toc143510594 \h </w:instrText>
      </w:r>
      <w:r>
        <w:rPr>
          <w:noProof/>
        </w:rPr>
      </w:r>
      <w:r>
        <w:rPr>
          <w:noProof/>
        </w:rPr>
        <w:fldChar w:fldCharType="separate"/>
      </w:r>
      <w:r>
        <w:rPr>
          <w:noProof/>
          <w:lang w:val="en-US"/>
        </w:rPr>
        <w:t>21</w:t>
      </w:r>
      <w:r>
        <w:rPr>
          <w:noProof/>
        </w:rPr>
        <w:fldChar w:fldCharType="end"/>
      </w:r>
    </w:p>
    <w:p w14:paraId="75FEFD4E" w14:textId="67195937"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3.2 Selection of critical and filler items</w:t>
      </w:r>
      <w:r w:rsidRPr="00782BE2">
        <w:rPr>
          <w:noProof/>
          <w:lang w:val="en-US"/>
        </w:rPr>
        <w:tab/>
      </w:r>
      <w:r>
        <w:rPr>
          <w:noProof/>
        </w:rPr>
        <w:fldChar w:fldCharType="begin"/>
      </w:r>
      <w:r w:rsidRPr="00782BE2">
        <w:rPr>
          <w:noProof/>
          <w:lang w:val="en-US"/>
        </w:rPr>
        <w:instrText xml:space="preserve"> PAGEREF _Toc143510595 \h </w:instrText>
      </w:r>
      <w:r>
        <w:rPr>
          <w:noProof/>
        </w:rPr>
      </w:r>
      <w:r>
        <w:rPr>
          <w:noProof/>
        </w:rPr>
        <w:fldChar w:fldCharType="separate"/>
      </w:r>
      <w:r>
        <w:rPr>
          <w:noProof/>
          <w:lang w:val="en-US"/>
        </w:rPr>
        <w:t>24</w:t>
      </w:r>
      <w:r>
        <w:rPr>
          <w:noProof/>
        </w:rPr>
        <w:fldChar w:fldCharType="end"/>
      </w:r>
    </w:p>
    <w:p w14:paraId="52489258" w14:textId="28145556"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3.3 Recording of stimuli</w:t>
      </w:r>
      <w:r w:rsidRPr="00782BE2">
        <w:rPr>
          <w:noProof/>
          <w:lang w:val="en-US"/>
        </w:rPr>
        <w:tab/>
      </w:r>
      <w:r>
        <w:rPr>
          <w:noProof/>
        </w:rPr>
        <w:fldChar w:fldCharType="begin"/>
      </w:r>
      <w:r w:rsidRPr="00782BE2">
        <w:rPr>
          <w:noProof/>
          <w:lang w:val="en-US"/>
        </w:rPr>
        <w:instrText xml:space="preserve"> PAGEREF _Toc143510596 \h </w:instrText>
      </w:r>
      <w:r>
        <w:rPr>
          <w:noProof/>
        </w:rPr>
      </w:r>
      <w:r>
        <w:rPr>
          <w:noProof/>
        </w:rPr>
        <w:fldChar w:fldCharType="separate"/>
      </w:r>
      <w:r>
        <w:rPr>
          <w:noProof/>
          <w:lang w:val="en-US"/>
        </w:rPr>
        <w:t>27</w:t>
      </w:r>
      <w:r>
        <w:rPr>
          <w:noProof/>
        </w:rPr>
        <w:fldChar w:fldCharType="end"/>
      </w:r>
    </w:p>
    <w:p w14:paraId="4523214B" w14:textId="28DF37F2"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3.4 Data collection</w:t>
      </w:r>
      <w:r w:rsidRPr="00782BE2">
        <w:rPr>
          <w:noProof/>
          <w:lang w:val="en-US"/>
        </w:rPr>
        <w:tab/>
      </w:r>
      <w:r>
        <w:rPr>
          <w:noProof/>
        </w:rPr>
        <w:fldChar w:fldCharType="begin"/>
      </w:r>
      <w:r w:rsidRPr="00782BE2">
        <w:rPr>
          <w:noProof/>
          <w:lang w:val="en-US"/>
        </w:rPr>
        <w:instrText xml:space="preserve"> PAGEREF _Toc143510597 \h </w:instrText>
      </w:r>
      <w:r>
        <w:rPr>
          <w:noProof/>
        </w:rPr>
      </w:r>
      <w:r>
        <w:rPr>
          <w:noProof/>
        </w:rPr>
        <w:fldChar w:fldCharType="separate"/>
      </w:r>
      <w:r>
        <w:rPr>
          <w:noProof/>
          <w:lang w:val="en-US"/>
        </w:rPr>
        <w:t>30</w:t>
      </w:r>
      <w:r>
        <w:rPr>
          <w:noProof/>
        </w:rPr>
        <w:fldChar w:fldCharType="end"/>
      </w:r>
    </w:p>
    <w:p w14:paraId="6FC12697" w14:textId="2D19303E"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3.5 Participant recruitment and characteristics</w:t>
      </w:r>
      <w:r w:rsidRPr="00782BE2">
        <w:rPr>
          <w:noProof/>
          <w:lang w:val="en-US"/>
        </w:rPr>
        <w:tab/>
      </w:r>
      <w:r>
        <w:rPr>
          <w:noProof/>
        </w:rPr>
        <w:fldChar w:fldCharType="begin"/>
      </w:r>
      <w:r w:rsidRPr="00782BE2">
        <w:rPr>
          <w:noProof/>
          <w:lang w:val="en-US"/>
        </w:rPr>
        <w:instrText xml:space="preserve"> PAGEREF _Toc143510598 \h </w:instrText>
      </w:r>
      <w:r>
        <w:rPr>
          <w:noProof/>
        </w:rPr>
      </w:r>
      <w:r>
        <w:rPr>
          <w:noProof/>
        </w:rPr>
        <w:fldChar w:fldCharType="separate"/>
      </w:r>
      <w:r>
        <w:rPr>
          <w:noProof/>
          <w:lang w:val="en-US"/>
        </w:rPr>
        <w:t>31</w:t>
      </w:r>
      <w:r>
        <w:rPr>
          <w:noProof/>
        </w:rPr>
        <w:fldChar w:fldCharType="end"/>
      </w:r>
    </w:p>
    <w:p w14:paraId="5FF261B8" w14:textId="0A13E3B9"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4. Results and analysis</w:t>
      </w:r>
      <w:r w:rsidRPr="00782BE2">
        <w:rPr>
          <w:noProof/>
          <w:lang w:val="en-US"/>
        </w:rPr>
        <w:tab/>
      </w:r>
      <w:r>
        <w:rPr>
          <w:noProof/>
        </w:rPr>
        <w:fldChar w:fldCharType="begin"/>
      </w:r>
      <w:r w:rsidRPr="00782BE2">
        <w:rPr>
          <w:noProof/>
          <w:lang w:val="en-US"/>
        </w:rPr>
        <w:instrText xml:space="preserve"> PAGEREF _Toc143510599 \h </w:instrText>
      </w:r>
      <w:r>
        <w:rPr>
          <w:noProof/>
        </w:rPr>
      </w:r>
      <w:r>
        <w:rPr>
          <w:noProof/>
        </w:rPr>
        <w:fldChar w:fldCharType="separate"/>
      </w:r>
      <w:r>
        <w:rPr>
          <w:noProof/>
          <w:lang w:val="en-US"/>
        </w:rPr>
        <w:t>32</w:t>
      </w:r>
      <w:r>
        <w:rPr>
          <w:noProof/>
        </w:rPr>
        <w:fldChar w:fldCharType="end"/>
      </w:r>
    </w:p>
    <w:p w14:paraId="709BBB37" w14:textId="6ECA79F7"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5. Discussion</w:t>
      </w:r>
      <w:r w:rsidRPr="00782BE2">
        <w:rPr>
          <w:noProof/>
          <w:lang w:val="en-US"/>
        </w:rPr>
        <w:tab/>
      </w:r>
      <w:r>
        <w:rPr>
          <w:noProof/>
        </w:rPr>
        <w:fldChar w:fldCharType="begin"/>
      </w:r>
      <w:r w:rsidRPr="00782BE2">
        <w:rPr>
          <w:noProof/>
          <w:lang w:val="en-US"/>
        </w:rPr>
        <w:instrText xml:space="preserve"> PAGEREF _Toc143510600 \h </w:instrText>
      </w:r>
      <w:r>
        <w:rPr>
          <w:noProof/>
        </w:rPr>
      </w:r>
      <w:r>
        <w:rPr>
          <w:noProof/>
        </w:rPr>
        <w:fldChar w:fldCharType="separate"/>
      </w:r>
      <w:r>
        <w:rPr>
          <w:noProof/>
          <w:lang w:val="en-US"/>
        </w:rPr>
        <w:t>40</w:t>
      </w:r>
      <w:r>
        <w:rPr>
          <w:noProof/>
        </w:rPr>
        <w:fldChar w:fldCharType="end"/>
      </w:r>
    </w:p>
    <w:p w14:paraId="216A11FC" w14:textId="28C27312"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5.1 Interpretation of the findings</w:t>
      </w:r>
      <w:r w:rsidRPr="00782BE2">
        <w:rPr>
          <w:noProof/>
          <w:lang w:val="en-US"/>
        </w:rPr>
        <w:tab/>
      </w:r>
      <w:r>
        <w:rPr>
          <w:noProof/>
        </w:rPr>
        <w:fldChar w:fldCharType="begin"/>
      </w:r>
      <w:r w:rsidRPr="00782BE2">
        <w:rPr>
          <w:noProof/>
          <w:lang w:val="en-US"/>
        </w:rPr>
        <w:instrText xml:space="preserve"> PAGEREF _Toc143510601 \h </w:instrText>
      </w:r>
      <w:r>
        <w:rPr>
          <w:noProof/>
        </w:rPr>
      </w:r>
      <w:r>
        <w:rPr>
          <w:noProof/>
        </w:rPr>
        <w:fldChar w:fldCharType="separate"/>
      </w:r>
      <w:r>
        <w:rPr>
          <w:noProof/>
          <w:lang w:val="en-US"/>
        </w:rPr>
        <w:t>40</w:t>
      </w:r>
      <w:r>
        <w:rPr>
          <w:noProof/>
        </w:rPr>
        <w:fldChar w:fldCharType="end"/>
      </w:r>
    </w:p>
    <w:p w14:paraId="7D40C4B0" w14:textId="1AC365EC"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5.2 Comparison with previous studies and theoretical predictions</w:t>
      </w:r>
      <w:r w:rsidRPr="00782BE2">
        <w:rPr>
          <w:noProof/>
          <w:lang w:val="en-US"/>
        </w:rPr>
        <w:tab/>
      </w:r>
      <w:r>
        <w:rPr>
          <w:noProof/>
        </w:rPr>
        <w:fldChar w:fldCharType="begin"/>
      </w:r>
      <w:r w:rsidRPr="00782BE2">
        <w:rPr>
          <w:noProof/>
          <w:lang w:val="en-US"/>
        </w:rPr>
        <w:instrText xml:space="preserve"> PAGEREF _Toc143510602 \h </w:instrText>
      </w:r>
      <w:r>
        <w:rPr>
          <w:noProof/>
        </w:rPr>
      </w:r>
      <w:r>
        <w:rPr>
          <w:noProof/>
        </w:rPr>
        <w:fldChar w:fldCharType="separate"/>
      </w:r>
      <w:r>
        <w:rPr>
          <w:noProof/>
          <w:lang w:val="en-US"/>
        </w:rPr>
        <w:t>48</w:t>
      </w:r>
      <w:r>
        <w:rPr>
          <w:noProof/>
        </w:rPr>
        <w:fldChar w:fldCharType="end"/>
      </w:r>
    </w:p>
    <w:p w14:paraId="38C69377" w14:textId="3FE0EE36"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6. Conclusions</w:t>
      </w:r>
      <w:r w:rsidRPr="00782BE2">
        <w:rPr>
          <w:noProof/>
          <w:lang w:val="en-US"/>
        </w:rPr>
        <w:tab/>
      </w:r>
      <w:r>
        <w:rPr>
          <w:noProof/>
        </w:rPr>
        <w:fldChar w:fldCharType="begin"/>
      </w:r>
      <w:r w:rsidRPr="00782BE2">
        <w:rPr>
          <w:noProof/>
          <w:lang w:val="en-US"/>
        </w:rPr>
        <w:instrText xml:space="preserve"> PAGEREF _Toc143510603 \h </w:instrText>
      </w:r>
      <w:r>
        <w:rPr>
          <w:noProof/>
        </w:rPr>
      </w:r>
      <w:r>
        <w:rPr>
          <w:noProof/>
        </w:rPr>
        <w:fldChar w:fldCharType="separate"/>
      </w:r>
      <w:r>
        <w:rPr>
          <w:noProof/>
          <w:lang w:val="en-US"/>
        </w:rPr>
        <w:t>51</w:t>
      </w:r>
      <w:r>
        <w:rPr>
          <w:noProof/>
        </w:rPr>
        <w:fldChar w:fldCharType="end"/>
      </w:r>
    </w:p>
    <w:p w14:paraId="35141C11" w14:textId="53D147B4"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6.1 Summary of findings</w:t>
      </w:r>
      <w:r w:rsidRPr="00782BE2">
        <w:rPr>
          <w:noProof/>
          <w:lang w:val="en-US"/>
        </w:rPr>
        <w:tab/>
      </w:r>
      <w:r>
        <w:rPr>
          <w:noProof/>
        </w:rPr>
        <w:fldChar w:fldCharType="begin"/>
      </w:r>
      <w:r w:rsidRPr="00782BE2">
        <w:rPr>
          <w:noProof/>
          <w:lang w:val="en-US"/>
        </w:rPr>
        <w:instrText xml:space="preserve"> PAGEREF _Toc143510604 \h </w:instrText>
      </w:r>
      <w:r>
        <w:rPr>
          <w:noProof/>
        </w:rPr>
      </w:r>
      <w:r>
        <w:rPr>
          <w:noProof/>
        </w:rPr>
        <w:fldChar w:fldCharType="separate"/>
      </w:r>
      <w:r>
        <w:rPr>
          <w:noProof/>
          <w:lang w:val="en-US"/>
        </w:rPr>
        <w:t>52</w:t>
      </w:r>
      <w:r>
        <w:rPr>
          <w:noProof/>
        </w:rPr>
        <w:fldChar w:fldCharType="end"/>
      </w:r>
    </w:p>
    <w:p w14:paraId="5F8577DD" w14:textId="2F7502BF"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6.2 Contributions to the field</w:t>
      </w:r>
      <w:r w:rsidRPr="00782BE2">
        <w:rPr>
          <w:noProof/>
          <w:lang w:val="en-US"/>
        </w:rPr>
        <w:tab/>
      </w:r>
      <w:r>
        <w:rPr>
          <w:noProof/>
        </w:rPr>
        <w:fldChar w:fldCharType="begin"/>
      </w:r>
      <w:r w:rsidRPr="00782BE2">
        <w:rPr>
          <w:noProof/>
          <w:lang w:val="en-US"/>
        </w:rPr>
        <w:instrText xml:space="preserve"> PAGEREF _Toc143510605 \h </w:instrText>
      </w:r>
      <w:r>
        <w:rPr>
          <w:noProof/>
        </w:rPr>
      </w:r>
      <w:r>
        <w:rPr>
          <w:noProof/>
        </w:rPr>
        <w:fldChar w:fldCharType="separate"/>
      </w:r>
      <w:r>
        <w:rPr>
          <w:noProof/>
          <w:lang w:val="en-US"/>
        </w:rPr>
        <w:t>52</w:t>
      </w:r>
      <w:r>
        <w:rPr>
          <w:noProof/>
        </w:rPr>
        <w:fldChar w:fldCharType="end"/>
      </w:r>
    </w:p>
    <w:p w14:paraId="1E544243" w14:textId="4546E04D"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6.3 Limitations of the study</w:t>
      </w:r>
      <w:r w:rsidRPr="00782BE2">
        <w:rPr>
          <w:noProof/>
          <w:lang w:val="en-US"/>
        </w:rPr>
        <w:tab/>
      </w:r>
      <w:r>
        <w:rPr>
          <w:noProof/>
        </w:rPr>
        <w:fldChar w:fldCharType="begin"/>
      </w:r>
      <w:r w:rsidRPr="00782BE2">
        <w:rPr>
          <w:noProof/>
          <w:lang w:val="en-US"/>
        </w:rPr>
        <w:instrText xml:space="preserve"> PAGEREF _Toc143510606 \h </w:instrText>
      </w:r>
      <w:r>
        <w:rPr>
          <w:noProof/>
        </w:rPr>
      </w:r>
      <w:r>
        <w:rPr>
          <w:noProof/>
        </w:rPr>
        <w:fldChar w:fldCharType="separate"/>
      </w:r>
      <w:r>
        <w:rPr>
          <w:noProof/>
          <w:lang w:val="en-US"/>
        </w:rPr>
        <w:t>55</w:t>
      </w:r>
      <w:r>
        <w:rPr>
          <w:noProof/>
        </w:rPr>
        <w:fldChar w:fldCharType="end"/>
      </w:r>
    </w:p>
    <w:p w14:paraId="217ECA2D" w14:textId="6A976A88"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6.4 Suggestions for future research</w:t>
      </w:r>
      <w:r w:rsidRPr="00782BE2">
        <w:rPr>
          <w:noProof/>
          <w:lang w:val="en-US"/>
        </w:rPr>
        <w:tab/>
      </w:r>
      <w:r>
        <w:rPr>
          <w:noProof/>
        </w:rPr>
        <w:fldChar w:fldCharType="begin"/>
      </w:r>
      <w:r w:rsidRPr="00782BE2">
        <w:rPr>
          <w:noProof/>
          <w:lang w:val="en-US"/>
        </w:rPr>
        <w:instrText xml:space="preserve"> PAGEREF _Toc143510607 \h </w:instrText>
      </w:r>
      <w:r>
        <w:rPr>
          <w:noProof/>
        </w:rPr>
      </w:r>
      <w:r>
        <w:rPr>
          <w:noProof/>
        </w:rPr>
        <w:fldChar w:fldCharType="separate"/>
      </w:r>
      <w:r>
        <w:rPr>
          <w:noProof/>
          <w:lang w:val="en-US"/>
        </w:rPr>
        <w:t>55</w:t>
      </w:r>
      <w:r>
        <w:rPr>
          <w:noProof/>
        </w:rPr>
        <w:fldChar w:fldCharType="end"/>
      </w:r>
    </w:p>
    <w:p w14:paraId="181EDEEA" w14:textId="7A6A0DDE"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7. References</w:t>
      </w:r>
      <w:r w:rsidRPr="00782BE2">
        <w:rPr>
          <w:noProof/>
          <w:lang w:val="en-US"/>
        </w:rPr>
        <w:tab/>
      </w:r>
      <w:r>
        <w:rPr>
          <w:noProof/>
        </w:rPr>
        <w:fldChar w:fldCharType="begin"/>
      </w:r>
      <w:r w:rsidRPr="00782BE2">
        <w:rPr>
          <w:noProof/>
          <w:lang w:val="en-US"/>
        </w:rPr>
        <w:instrText xml:space="preserve"> PAGEREF _Toc143510608 \h </w:instrText>
      </w:r>
      <w:r>
        <w:rPr>
          <w:noProof/>
        </w:rPr>
      </w:r>
      <w:r>
        <w:rPr>
          <w:noProof/>
        </w:rPr>
        <w:fldChar w:fldCharType="separate"/>
      </w:r>
      <w:r>
        <w:rPr>
          <w:noProof/>
          <w:lang w:val="en-US"/>
        </w:rPr>
        <w:t>57</w:t>
      </w:r>
      <w:r>
        <w:rPr>
          <w:noProof/>
        </w:rPr>
        <w:fldChar w:fldCharType="end"/>
      </w:r>
    </w:p>
    <w:p w14:paraId="735A842E" w14:textId="737E96B2" w:rsidR="00782BE2" w:rsidRDefault="00782BE2">
      <w:pPr>
        <w:pStyle w:val="Verzeichnis1"/>
        <w:rPr>
          <w:rFonts w:asciiTheme="minorHAnsi" w:eastAsiaTheme="minorEastAsia" w:hAnsiTheme="minorHAnsi"/>
          <w:noProof/>
          <w:kern w:val="2"/>
          <w:sz w:val="22"/>
          <w:lang w:val="en-US"/>
          <w14:ligatures w14:val="standardContextual"/>
        </w:rPr>
      </w:pPr>
      <w:r w:rsidRPr="001C7FC0">
        <w:rPr>
          <w:rFonts w:cs="Arial"/>
          <w:noProof/>
          <w:lang w:val="en-US"/>
        </w:rPr>
        <w:t>8. Appendix</w:t>
      </w:r>
      <w:r w:rsidRPr="00782BE2">
        <w:rPr>
          <w:noProof/>
          <w:lang w:val="en-US"/>
        </w:rPr>
        <w:tab/>
      </w:r>
      <w:r>
        <w:rPr>
          <w:noProof/>
        </w:rPr>
        <w:fldChar w:fldCharType="begin"/>
      </w:r>
      <w:r w:rsidRPr="00782BE2">
        <w:rPr>
          <w:noProof/>
          <w:lang w:val="en-US"/>
        </w:rPr>
        <w:instrText xml:space="preserve"> PAGEREF _Toc143510609 \h </w:instrText>
      </w:r>
      <w:r>
        <w:rPr>
          <w:noProof/>
        </w:rPr>
      </w:r>
      <w:r>
        <w:rPr>
          <w:noProof/>
        </w:rPr>
        <w:fldChar w:fldCharType="separate"/>
      </w:r>
      <w:r>
        <w:rPr>
          <w:noProof/>
          <w:lang w:val="en-US"/>
        </w:rPr>
        <w:t>61</w:t>
      </w:r>
      <w:r>
        <w:rPr>
          <w:noProof/>
        </w:rPr>
        <w:fldChar w:fldCharType="end"/>
      </w:r>
    </w:p>
    <w:p w14:paraId="728DDC5B" w14:textId="6A74EAA1"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rFonts w:cs="Arial"/>
          <w:noProof/>
          <w:lang w:val="en-US"/>
        </w:rPr>
        <w:t>8.1 Abbreviations, symbols and other notational conventions</w:t>
      </w:r>
      <w:r w:rsidRPr="00782BE2">
        <w:rPr>
          <w:noProof/>
          <w:lang w:val="en-US"/>
        </w:rPr>
        <w:tab/>
      </w:r>
      <w:r>
        <w:rPr>
          <w:noProof/>
        </w:rPr>
        <w:fldChar w:fldCharType="begin"/>
      </w:r>
      <w:r w:rsidRPr="00782BE2">
        <w:rPr>
          <w:noProof/>
          <w:lang w:val="en-US"/>
        </w:rPr>
        <w:instrText xml:space="preserve"> PAGEREF _Toc143510610 \h </w:instrText>
      </w:r>
      <w:r>
        <w:rPr>
          <w:noProof/>
        </w:rPr>
      </w:r>
      <w:r>
        <w:rPr>
          <w:noProof/>
        </w:rPr>
        <w:fldChar w:fldCharType="separate"/>
      </w:r>
      <w:r>
        <w:rPr>
          <w:noProof/>
          <w:lang w:val="en-US"/>
        </w:rPr>
        <w:t>61</w:t>
      </w:r>
      <w:r>
        <w:rPr>
          <w:noProof/>
        </w:rPr>
        <w:fldChar w:fldCharType="end"/>
      </w:r>
    </w:p>
    <w:p w14:paraId="474B94CE" w14:textId="761FDB69"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rFonts w:cs="Arial"/>
          <w:noProof/>
          <w:lang w:val="en-US"/>
        </w:rPr>
        <w:t>8.2 List of critical items</w:t>
      </w:r>
      <w:r w:rsidRPr="00782BE2">
        <w:rPr>
          <w:noProof/>
          <w:lang w:val="en-US"/>
        </w:rPr>
        <w:tab/>
      </w:r>
      <w:r>
        <w:rPr>
          <w:noProof/>
        </w:rPr>
        <w:fldChar w:fldCharType="begin"/>
      </w:r>
      <w:r w:rsidRPr="00782BE2">
        <w:rPr>
          <w:noProof/>
          <w:lang w:val="en-US"/>
        </w:rPr>
        <w:instrText xml:space="preserve"> PAGEREF _Toc143510611 \h </w:instrText>
      </w:r>
      <w:r>
        <w:rPr>
          <w:noProof/>
        </w:rPr>
      </w:r>
      <w:r>
        <w:rPr>
          <w:noProof/>
        </w:rPr>
        <w:fldChar w:fldCharType="separate"/>
      </w:r>
      <w:r>
        <w:rPr>
          <w:noProof/>
          <w:lang w:val="en-US"/>
        </w:rPr>
        <w:t>62</w:t>
      </w:r>
      <w:r>
        <w:rPr>
          <w:noProof/>
        </w:rPr>
        <w:fldChar w:fldCharType="end"/>
      </w:r>
    </w:p>
    <w:p w14:paraId="39988584" w14:textId="602A5241" w:rsidR="00782BE2" w:rsidRDefault="00782BE2">
      <w:pPr>
        <w:pStyle w:val="Verzeichnis2"/>
        <w:tabs>
          <w:tab w:val="right" w:leader="dot" w:pos="7927"/>
        </w:tabs>
        <w:rPr>
          <w:rFonts w:asciiTheme="minorHAnsi" w:eastAsiaTheme="minorEastAsia" w:hAnsiTheme="minorHAnsi"/>
          <w:noProof/>
          <w:kern w:val="2"/>
          <w:sz w:val="22"/>
          <w:lang w:val="en-US"/>
          <w14:ligatures w14:val="standardContextual"/>
        </w:rPr>
      </w:pPr>
      <w:r w:rsidRPr="00782BE2">
        <w:rPr>
          <w:noProof/>
          <w:lang w:val="en-US"/>
        </w:rPr>
        <w:t>8.3 List of filler items</w:t>
      </w:r>
      <w:r w:rsidRPr="00782BE2">
        <w:rPr>
          <w:noProof/>
          <w:lang w:val="en-US"/>
        </w:rPr>
        <w:tab/>
      </w:r>
      <w:r>
        <w:rPr>
          <w:noProof/>
        </w:rPr>
        <w:fldChar w:fldCharType="begin"/>
      </w:r>
      <w:r w:rsidRPr="00782BE2">
        <w:rPr>
          <w:noProof/>
          <w:lang w:val="en-US"/>
        </w:rPr>
        <w:instrText xml:space="preserve"> PAGEREF _Toc143510612 \h </w:instrText>
      </w:r>
      <w:r>
        <w:rPr>
          <w:noProof/>
        </w:rPr>
      </w:r>
      <w:r>
        <w:rPr>
          <w:noProof/>
        </w:rPr>
        <w:fldChar w:fldCharType="separate"/>
      </w:r>
      <w:r>
        <w:rPr>
          <w:noProof/>
          <w:lang w:val="en-US"/>
        </w:rPr>
        <w:t>63</w:t>
      </w:r>
      <w:r>
        <w:rPr>
          <w:noProof/>
        </w:rPr>
        <w:fldChar w:fldCharType="end"/>
      </w:r>
    </w:p>
    <w:p w14:paraId="454C45EB" w14:textId="2B46FB43"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bookmarkEnd w:id="2"/>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3"/>
      <w:r>
        <w:rPr>
          <w:rFonts w:cs="Arial"/>
          <w:szCs w:val="24"/>
          <w:lang w:val="en-US"/>
        </w:rPr>
        <w:lastRenderedPageBreak/>
        <w:t>Table of figures</w:t>
      </w:r>
      <w:commentRangeEnd w:id="3"/>
      <w:r w:rsidR="0016617B">
        <w:rPr>
          <w:rStyle w:val="Kommentarzeichen"/>
        </w:rPr>
        <w:commentReference w:id="3"/>
      </w:r>
    </w:p>
    <w:p w14:paraId="272872EE" w14:textId="74D7A73C" w:rsidR="00B56313" w:rsidRDefault="00B56313" w:rsidP="006940F1">
      <w:pPr>
        <w:spacing w:after="0" w:line="360" w:lineRule="auto"/>
        <w:ind w:left="567" w:hanging="567"/>
        <w:jc w:val="both"/>
        <w:rPr>
          <w:rFonts w:cs="Arial"/>
          <w:szCs w:val="24"/>
          <w:lang w:val="en-US"/>
        </w:rPr>
      </w:pPr>
    </w:p>
    <w:p w14:paraId="500E9B32" w14:textId="220B6680" w:rsidR="006940F1" w:rsidRDefault="00C6278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503600" w:history="1">
        <w:r w:rsidR="006940F1" w:rsidRPr="001043E4">
          <w:rPr>
            <w:rStyle w:val="Hyperlink"/>
            <w:noProof/>
            <w:lang w:val="en-US"/>
          </w:rPr>
          <w:t>Figure 1: Pitch contour of stimuli with emphasis</w:t>
        </w:r>
        <w:r w:rsidR="006940F1">
          <w:rPr>
            <w:noProof/>
            <w:webHidden/>
          </w:rPr>
          <w:tab/>
        </w:r>
        <w:r w:rsidR="006940F1">
          <w:rPr>
            <w:noProof/>
            <w:webHidden/>
          </w:rPr>
          <w:fldChar w:fldCharType="begin"/>
        </w:r>
        <w:r w:rsidR="006940F1">
          <w:rPr>
            <w:noProof/>
            <w:webHidden/>
          </w:rPr>
          <w:instrText xml:space="preserve"> PAGEREF _Toc143503600 \h </w:instrText>
        </w:r>
        <w:r w:rsidR="006940F1">
          <w:rPr>
            <w:noProof/>
            <w:webHidden/>
          </w:rPr>
        </w:r>
        <w:r w:rsidR="006940F1">
          <w:rPr>
            <w:noProof/>
            <w:webHidden/>
          </w:rPr>
          <w:fldChar w:fldCharType="separate"/>
        </w:r>
        <w:r w:rsidR="00782BE2">
          <w:rPr>
            <w:noProof/>
            <w:webHidden/>
          </w:rPr>
          <w:t>28</w:t>
        </w:r>
        <w:r w:rsidR="006940F1">
          <w:rPr>
            <w:noProof/>
            <w:webHidden/>
          </w:rPr>
          <w:fldChar w:fldCharType="end"/>
        </w:r>
      </w:hyperlink>
    </w:p>
    <w:p w14:paraId="5B64BED4" w14:textId="74FD26FC"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1" w:history="1">
        <w:r w:rsidRPr="001043E4">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_Toc143503601 \h </w:instrText>
        </w:r>
        <w:r>
          <w:rPr>
            <w:noProof/>
            <w:webHidden/>
          </w:rPr>
        </w:r>
        <w:r>
          <w:rPr>
            <w:noProof/>
            <w:webHidden/>
          </w:rPr>
          <w:fldChar w:fldCharType="separate"/>
        </w:r>
        <w:r w:rsidR="00782BE2">
          <w:rPr>
            <w:noProof/>
            <w:webHidden/>
          </w:rPr>
          <w:t>29</w:t>
        </w:r>
        <w:r>
          <w:rPr>
            <w:noProof/>
            <w:webHidden/>
          </w:rPr>
          <w:fldChar w:fldCharType="end"/>
        </w:r>
      </w:hyperlink>
    </w:p>
    <w:p w14:paraId="42F9B9E9" w14:textId="1BC56DE2"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2" w:history="1">
        <w:r w:rsidRPr="001043E4">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_Toc143503602 \h </w:instrText>
        </w:r>
        <w:r>
          <w:rPr>
            <w:noProof/>
            <w:webHidden/>
          </w:rPr>
        </w:r>
        <w:r>
          <w:rPr>
            <w:noProof/>
            <w:webHidden/>
          </w:rPr>
          <w:fldChar w:fldCharType="separate"/>
        </w:r>
        <w:r w:rsidR="00782BE2">
          <w:rPr>
            <w:noProof/>
            <w:webHidden/>
          </w:rPr>
          <w:t>33</w:t>
        </w:r>
        <w:r>
          <w:rPr>
            <w:noProof/>
            <w:webHidden/>
          </w:rPr>
          <w:fldChar w:fldCharType="end"/>
        </w:r>
      </w:hyperlink>
    </w:p>
    <w:p w14:paraId="015DF2E5" w14:textId="4A313D5B"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3" w:history="1">
        <w:r w:rsidRPr="001043E4">
          <w:rPr>
            <w:rStyle w:val="Hyperlink"/>
            <w:noProof/>
            <w:lang w:val="en-US"/>
          </w:rPr>
          <w:t>Figure 4: Mosaic plots of participants' ratings of each factor</w:t>
        </w:r>
        <w:r>
          <w:rPr>
            <w:noProof/>
            <w:webHidden/>
          </w:rPr>
          <w:tab/>
        </w:r>
        <w:r>
          <w:rPr>
            <w:noProof/>
            <w:webHidden/>
          </w:rPr>
          <w:fldChar w:fldCharType="begin"/>
        </w:r>
        <w:r>
          <w:rPr>
            <w:noProof/>
            <w:webHidden/>
          </w:rPr>
          <w:instrText xml:space="preserve"> PAGEREF _Toc143503603 \h </w:instrText>
        </w:r>
        <w:r>
          <w:rPr>
            <w:noProof/>
            <w:webHidden/>
          </w:rPr>
        </w:r>
        <w:r>
          <w:rPr>
            <w:noProof/>
            <w:webHidden/>
          </w:rPr>
          <w:fldChar w:fldCharType="separate"/>
        </w:r>
        <w:r w:rsidR="00782BE2">
          <w:rPr>
            <w:noProof/>
            <w:webHidden/>
          </w:rPr>
          <w:t>34</w:t>
        </w:r>
        <w:r>
          <w:rPr>
            <w:noProof/>
            <w:webHidden/>
          </w:rPr>
          <w:fldChar w:fldCharType="end"/>
        </w:r>
      </w:hyperlink>
    </w:p>
    <w:p w14:paraId="0C3BE71A" w14:textId="000226B4"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4" w:history="1">
        <w:r w:rsidRPr="001043E4">
          <w:rPr>
            <w:rStyle w:val="Hyperlink"/>
            <w:noProof/>
            <w:lang w:val="en-US"/>
          </w:rPr>
          <w:t>Figure 5: Box plot of participants' ratings of all critical items</w:t>
        </w:r>
        <w:r>
          <w:rPr>
            <w:noProof/>
            <w:webHidden/>
          </w:rPr>
          <w:tab/>
        </w:r>
        <w:r>
          <w:rPr>
            <w:noProof/>
            <w:webHidden/>
          </w:rPr>
          <w:fldChar w:fldCharType="begin"/>
        </w:r>
        <w:r>
          <w:rPr>
            <w:noProof/>
            <w:webHidden/>
          </w:rPr>
          <w:instrText xml:space="preserve"> PAGEREF _Toc143503604 \h </w:instrText>
        </w:r>
        <w:r>
          <w:rPr>
            <w:noProof/>
            <w:webHidden/>
          </w:rPr>
        </w:r>
        <w:r>
          <w:rPr>
            <w:noProof/>
            <w:webHidden/>
          </w:rPr>
          <w:fldChar w:fldCharType="separate"/>
        </w:r>
        <w:r w:rsidR="00782BE2">
          <w:rPr>
            <w:noProof/>
            <w:webHidden/>
          </w:rPr>
          <w:t>35</w:t>
        </w:r>
        <w:r>
          <w:rPr>
            <w:noProof/>
            <w:webHidden/>
          </w:rPr>
          <w:fldChar w:fldCharType="end"/>
        </w:r>
      </w:hyperlink>
    </w:p>
    <w:p w14:paraId="711D94DA" w14:textId="4E534305"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5" w:history="1">
        <w:r w:rsidRPr="001043E4">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_Toc143503605 \h </w:instrText>
        </w:r>
        <w:r>
          <w:rPr>
            <w:noProof/>
            <w:webHidden/>
          </w:rPr>
        </w:r>
        <w:r>
          <w:rPr>
            <w:noProof/>
            <w:webHidden/>
          </w:rPr>
          <w:fldChar w:fldCharType="separate"/>
        </w:r>
        <w:r w:rsidR="00782BE2">
          <w:rPr>
            <w:noProof/>
            <w:webHidden/>
          </w:rPr>
          <w:t>37</w:t>
        </w:r>
        <w:r>
          <w:rPr>
            <w:noProof/>
            <w:webHidden/>
          </w:rPr>
          <w:fldChar w:fldCharType="end"/>
        </w:r>
      </w:hyperlink>
    </w:p>
    <w:p w14:paraId="16E474AF" w14:textId="6852B252"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6" w:history="1">
        <w:r w:rsidRPr="001043E4">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_Toc143503606 \h </w:instrText>
        </w:r>
        <w:r>
          <w:rPr>
            <w:noProof/>
            <w:webHidden/>
          </w:rPr>
        </w:r>
        <w:r>
          <w:rPr>
            <w:noProof/>
            <w:webHidden/>
          </w:rPr>
          <w:fldChar w:fldCharType="separate"/>
        </w:r>
        <w:r w:rsidR="00782BE2">
          <w:rPr>
            <w:noProof/>
            <w:webHidden/>
          </w:rPr>
          <w:t>38</w:t>
        </w:r>
        <w:r>
          <w:rPr>
            <w:noProof/>
            <w:webHidden/>
          </w:rPr>
          <w:fldChar w:fldCharType="end"/>
        </w:r>
      </w:hyperlink>
    </w:p>
    <w:p w14:paraId="555D14A5" w14:textId="789028F1"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7" w:history="1">
        <w:r w:rsidRPr="001043E4">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_Toc143503607 \h </w:instrText>
        </w:r>
        <w:r>
          <w:rPr>
            <w:noProof/>
            <w:webHidden/>
          </w:rPr>
        </w:r>
        <w:r>
          <w:rPr>
            <w:noProof/>
            <w:webHidden/>
          </w:rPr>
          <w:fldChar w:fldCharType="separate"/>
        </w:r>
        <w:r w:rsidR="00782BE2">
          <w:rPr>
            <w:noProof/>
            <w:webHidden/>
          </w:rPr>
          <w:t>39</w:t>
        </w:r>
        <w:r>
          <w:rPr>
            <w:noProof/>
            <w:webHidden/>
          </w:rPr>
          <w:fldChar w:fldCharType="end"/>
        </w:r>
      </w:hyperlink>
    </w:p>
    <w:p w14:paraId="6EEDEB2F" w14:textId="34F56FA3"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8" w:history="1">
        <w:r w:rsidRPr="001043E4">
          <w:rPr>
            <w:rStyle w:val="Hyperlink"/>
            <w:noProof/>
            <w:lang w:val="en-US"/>
          </w:rPr>
          <w:t>Figure 9: Scatter plot of participants' ratings by age group</w:t>
        </w:r>
        <w:r>
          <w:rPr>
            <w:noProof/>
            <w:webHidden/>
          </w:rPr>
          <w:tab/>
        </w:r>
        <w:r>
          <w:rPr>
            <w:noProof/>
            <w:webHidden/>
          </w:rPr>
          <w:fldChar w:fldCharType="begin"/>
        </w:r>
        <w:r>
          <w:rPr>
            <w:noProof/>
            <w:webHidden/>
          </w:rPr>
          <w:instrText xml:space="preserve"> PAGEREF _Toc143503608 \h </w:instrText>
        </w:r>
        <w:r>
          <w:rPr>
            <w:noProof/>
            <w:webHidden/>
          </w:rPr>
        </w:r>
        <w:r>
          <w:rPr>
            <w:noProof/>
            <w:webHidden/>
          </w:rPr>
          <w:fldChar w:fldCharType="separate"/>
        </w:r>
        <w:r w:rsidR="00782BE2">
          <w:rPr>
            <w:noProof/>
            <w:webHidden/>
          </w:rPr>
          <w:t>43</w:t>
        </w:r>
        <w:r>
          <w:rPr>
            <w:noProof/>
            <w:webHidden/>
          </w:rPr>
          <w:fldChar w:fldCharType="end"/>
        </w:r>
      </w:hyperlink>
    </w:p>
    <w:p w14:paraId="386463D5" w14:textId="17B9C90C" w:rsidR="006940F1" w:rsidRDefault="006940F1" w:rsidP="006940F1">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03609" w:history="1">
        <w:r w:rsidRPr="001043E4">
          <w:rPr>
            <w:rStyle w:val="Hyperlink"/>
            <w:noProof/>
            <w:lang w:val="en-US"/>
          </w:rPr>
          <w:t>Figure 10: Scatter plot of participants' ratings by linguistic profile</w:t>
        </w:r>
        <w:r>
          <w:rPr>
            <w:noProof/>
            <w:webHidden/>
          </w:rPr>
          <w:tab/>
        </w:r>
        <w:r>
          <w:rPr>
            <w:noProof/>
            <w:webHidden/>
          </w:rPr>
          <w:fldChar w:fldCharType="begin"/>
        </w:r>
        <w:r>
          <w:rPr>
            <w:noProof/>
            <w:webHidden/>
          </w:rPr>
          <w:instrText xml:space="preserve"> PAGEREF _Toc143503609 \h </w:instrText>
        </w:r>
        <w:r>
          <w:rPr>
            <w:noProof/>
            <w:webHidden/>
          </w:rPr>
        </w:r>
        <w:r>
          <w:rPr>
            <w:noProof/>
            <w:webHidden/>
          </w:rPr>
          <w:fldChar w:fldCharType="separate"/>
        </w:r>
        <w:r w:rsidR="00782BE2">
          <w:rPr>
            <w:noProof/>
            <w:webHidden/>
          </w:rPr>
          <w:t>45</w:t>
        </w:r>
        <w:r>
          <w:rPr>
            <w:noProof/>
            <w:webHidden/>
          </w:rPr>
          <w:fldChar w:fldCharType="end"/>
        </w:r>
      </w:hyperlink>
    </w:p>
    <w:p w14:paraId="41304432" w14:textId="7E56C2A9" w:rsidR="00B23732" w:rsidRDefault="00C62781" w:rsidP="006940F1">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4" w:name="_Toc143510583"/>
      <w:r w:rsidRPr="007D080B">
        <w:rPr>
          <w:rFonts w:cs="Arial"/>
          <w:szCs w:val="24"/>
          <w:lang w:val="en-US"/>
        </w:rPr>
        <w:lastRenderedPageBreak/>
        <w:t xml:space="preserve">1. </w:t>
      </w:r>
      <w:r w:rsidR="00257634" w:rsidRPr="007D080B">
        <w:rPr>
          <w:rFonts w:cs="Arial"/>
          <w:szCs w:val="24"/>
          <w:lang w:val="en-US"/>
        </w:rPr>
        <w:t>Introduction</w:t>
      </w:r>
      <w:bookmarkEnd w:id="4"/>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5" w:name="_Toc143510584"/>
      <w:r>
        <w:t xml:space="preserve">1.1 </w:t>
      </w:r>
      <w:r w:rsidRPr="00CD00C2">
        <w:t>Background and motivation</w:t>
      </w:r>
      <w:bookmarkEnd w:id="5"/>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proofErr w:type="spellStart"/>
      <w:r w:rsidR="0023763D" w:rsidRPr="00A73EF7">
        <w:rPr>
          <w:rFonts w:cs="Arial"/>
          <w:iCs/>
          <w:szCs w:val="24"/>
        </w:rPr>
        <w:t>No</w:t>
      </w:r>
      <w:proofErr w:type="spellEnd"/>
      <w:r w:rsidR="0023763D" w:rsidRPr="00A73EF7">
        <w:rPr>
          <w:rFonts w:cs="Arial"/>
          <w:iCs/>
          <w:szCs w:val="24"/>
        </w:rPr>
        <w:t>, UNTIL 6pm.</w:t>
      </w:r>
      <w:r w:rsidRPr="00A73EF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w:t>
      </w:r>
      <w:proofErr w:type="spellStart"/>
      <w:r w:rsidRPr="00A73EF7">
        <w:rPr>
          <w:rFonts w:cs="Arial"/>
          <w:iCs/>
          <w:szCs w:val="24"/>
        </w:rPr>
        <w:t>No</w:t>
      </w:r>
      <w:proofErr w:type="spellEnd"/>
      <w:r w:rsidRPr="00A73EF7">
        <w:rPr>
          <w:rFonts w:cs="Arial"/>
          <w:iCs/>
          <w:szCs w:val="24"/>
        </w:rPr>
        <w:t xml:space="preserve">, </w:t>
      </w:r>
      <w:proofErr w:type="spellStart"/>
      <w:r w:rsidRPr="00A73EF7">
        <w:rPr>
          <w:rFonts w:cs="Arial"/>
          <w:iCs/>
          <w:szCs w:val="24"/>
        </w:rPr>
        <w:t>until</w:t>
      </w:r>
      <w:proofErr w:type="spellEnd"/>
      <w:r w:rsidRPr="00A73EF7">
        <w:rPr>
          <w:rFonts w:cs="Arial"/>
          <w:iCs/>
          <w:szCs w:val="24"/>
        </w:rPr>
        <w:t xml:space="preserve">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6"/>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sidR="000D7FD3">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3510585"/>
      <w:r>
        <w:t>1.2 Research questions and objectives</w:t>
      </w:r>
      <w:bookmarkEnd w:id="7"/>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w:t>
      </w:r>
      <w:proofErr w:type="spellStart"/>
      <w:r w:rsidRPr="00A73EF7">
        <w:rPr>
          <w:rFonts w:cs="Arial"/>
          <w:szCs w:val="24"/>
        </w:rPr>
        <w:t>No</w:t>
      </w:r>
      <w:proofErr w:type="spellEnd"/>
      <w:r w:rsidRPr="00A73EF7">
        <w:rPr>
          <w:rFonts w:cs="Arial"/>
          <w:szCs w:val="24"/>
        </w:rPr>
        <w:t xml:space="preserve">, </w:t>
      </w:r>
      <w:proofErr w:type="spellStart"/>
      <w:r w:rsidRPr="00A73EF7">
        <w:rPr>
          <w:rFonts w:cs="Arial"/>
          <w:szCs w:val="24"/>
        </w:rPr>
        <w:t>his</w:t>
      </w:r>
      <w:proofErr w:type="spellEnd"/>
      <w:r w:rsidRPr="00A73EF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w:t>
      </w:r>
      <w:proofErr w:type="spellStart"/>
      <w:r w:rsidR="00EF6719" w:rsidRPr="00A73EF7">
        <w:rPr>
          <w:rFonts w:cs="Arial"/>
          <w:szCs w:val="24"/>
        </w:rPr>
        <w:t>No</w:t>
      </w:r>
      <w:proofErr w:type="spellEnd"/>
      <w:r w:rsidR="00EF6719" w:rsidRPr="00A73EF7">
        <w:rPr>
          <w:rFonts w:cs="Arial"/>
          <w:szCs w:val="24"/>
        </w:rPr>
        <w:t xml:space="preserve">, </w:t>
      </w:r>
      <w:proofErr w:type="spellStart"/>
      <w:r w:rsidR="00EF6719" w:rsidRPr="00A73EF7">
        <w:rPr>
          <w:rFonts w:cs="Arial"/>
          <w:szCs w:val="24"/>
        </w:rPr>
        <w:t>his</w:t>
      </w:r>
      <w:proofErr w:type="spellEnd"/>
      <w:r w:rsidR="00EF6719" w:rsidRPr="00A73EF7">
        <w:rPr>
          <w:rFonts w:cs="Arial"/>
          <w:szCs w:val="24"/>
        </w:rPr>
        <w:t xml:space="preserve"> </w:t>
      </w:r>
      <w:proofErr w:type="spellStart"/>
      <w:r w:rsidR="00727003" w:rsidRPr="00A73EF7">
        <w:rPr>
          <w:rFonts w:cs="Arial"/>
          <w:szCs w:val="24"/>
        </w:rPr>
        <w:t>father</w:t>
      </w:r>
      <w:proofErr w:type="spellEnd"/>
      <w:r w:rsidR="00EF6719" w:rsidRPr="00A73EF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3510586"/>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6D4B32DC"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001D6867">
        <w:rPr>
          <w:lang w:val="en-US"/>
        </w:rPr>
        <w:lastRenderedPageBreak/>
        <w:t xml:space="preserve">contrastive </w:t>
      </w:r>
      <w:r w:rsidRPr="00472776">
        <w:rPr>
          <w:lang w:val="en-US"/>
        </w:rPr>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3510587"/>
      <w:r w:rsidRPr="0099716C">
        <w:t>1.4 Scope and limitations</w:t>
      </w:r>
      <w:bookmarkEnd w:id="10"/>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1" w:name="_Toc143510588"/>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1"/>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2"/>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2"/>
      <w:r w:rsidR="00B37C44">
        <w:rPr>
          <w:rStyle w:val="Kommentarzeichen"/>
        </w:rPr>
        <w:commentReference w:id="12"/>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3" w:name="_Toc143510589"/>
      <w:r>
        <w:t>2.</w:t>
      </w:r>
      <w:r w:rsidR="00B740EC">
        <w:t>1</w:t>
      </w:r>
      <w:r>
        <w:t xml:space="preserve"> </w:t>
      </w:r>
      <w:r w:rsidR="00E75ED2" w:rsidRPr="00F818EF">
        <w:t>Fragment</w:t>
      </w:r>
      <w:r w:rsidR="00D35B6C" w:rsidRPr="00F818EF">
        <w:t xml:space="preserve"> theory and its linguistic foundations</w:t>
      </w:r>
      <w:bookmarkEnd w:id="13"/>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w:t>
      </w:r>
      <w:r>
        <w:rPr>
          <w:rFonts w:cs="Arial"/>
          <w:szCs w:val="24"/>
          <w:lang w:val="en-US"/>
        </w:rPr>
        <w:lastRenderedPageBreak/>
        <w:t>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4" w:name="_Toc143510590"/>
      <w:r>
        <w:t>2.</w:t>
      </w:r>
      <w:r w:rsidR="00B740EC">
        <w:t>2</w:t>
      </w:r>
      <w:r>
        <w:t xml:space="preserve"> Contrastive </w:t>
      </w:r>
      <w:r w:rsidR="00A2533A">
        <w:t>f</w:t>
      </w:r>
      <w:r>
        <w:t>ocus</w:t>
      </w:r>
      <w:bookmarkEnd w:id="14"/>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5" w:name="_Toc143510591"/>
      <w:r>
        <w:t>2.</w:t>
      </w:r>
      <w:r w:rsidR="00B740EC">
        <w:t>3</w:t>
      </w:r>
      <w:r>
        <w:t xml:space="preserve"> The comprehension</w:t>
      </w:r>
      <w:r w:rsidR="00BE0E8D">
        <w:t xml:space="preserve"> of fragmentary answers</w:t>
      </w:r>
      <w:bookmarkEnd w:id="15"/>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1449CB6C"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w:t>
      </w:r>
      <w:r>
        <w:rPr>
          <w:lang w:val="en-US"/>
        </w:rPr>
        <w:lastRenderedPageBreak/>
        <w:t xml:space="preserve">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09326217"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determiner phrases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proofErr w:type="spellStart"/>
      <w:r w:rsidR="00FE47B8" w:rsidRPr="00FE47B8">
        <w:rPr>
          <w:rFonts w:cs="Arial"/>
          <w:lang w:val="en-US"/>
        </w:rPr>
        <w:t>Rasekhi</w:t>
      </w:r>
      <w:proofErr w:type="spellEnd"/>
      <w:r w:rsidR="00FE47B8" w:rsidRPr="00FE47B8">
        <w:rPr>
          <w:rFonts w:cs="Arial"/>
          <w:lang w:val="en-US"/>
        </w:rPr>
        <w:t xml:space="preserve">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w:t>
      </w:r>
      <w:r>
        <w:rPr>
          <w:lang w:val="en-US"/>
        </w:rPr>
        <w:lastRenderedPageBreak/>
        <w:t xml:space="preserv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6"/>
      <w:r w:rsidR="00672F4A">
        <w:rPr>
          <w:lang w:val="en-US"/>
        </w:rPr>
        <w:t>Black et al. 1985</w:t>
      </w:r>
      <w:commentRangeEnd w:id="16"/>
      <w:r w:rsidR="00672F4A">
        <w:rPr>
          <w:rStyle w:val="Kommentarzeichen"/>
        </w:rPr>
        <w:commentReference w:id="16"/>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w:t>
      </w:r>
      <w:r w:rsidR="00317389" w:rsidRPr="00317389">
        <w:rPr>
          <w:lang w:val="en-US"/>
        </w:rPr>
        <w:lastRenderedPageBreak/>
        <w:t xml:space="preserve">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7"/>
      <w:r w:rsidR="00A216B5">
        <w:rPr>
          <w:lang w:val="en-US"/>
        </w:rPr>
        <w:t>However, the role of orthographic marking on the comprehension of ellipsis has not been studied so far.</w:t>
      </w:r>
      <w:commentRangeEnd w:id="17"/>
      <w:r w:rsidR="00CF4B2A">
        <w:rPr>
          <w:rStyle w:val="Kommentarzeichen"/>
        </w:rPr>
        <w:commentReference w:id="17"/>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8"/>
      <w:r w:rsidRPr="00807D5F">
        <w:rPr>
          <w:lang w:val="en-US"/>
        </w:rPr>
        <w:t>Biber</w:t>
      </w:r>
      <w:r w:rsidR="00C20302">
        <w:rPr>
          <w:lang w:val="en-US"/>
        </w:rPr>
        <w:t xml:space="preserve"> et al. 1999</w:t>
      </w:r>
      <w:commentRangeEnd w:id="18"/>
      <w:r w:rsidR="00C20302">
        <w:rPr>
          <w:rStyle w:val="Kommentarzeichen"/>
        </w:rPr>
        <w:commentReference w:id="18"/>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9"/>
      <w:r w:rsidR="00841C0C">
        <w:rPr>
          <w:rFonts w:cs="Arial"/>
          <w:lang w:val="en-US"/>
        </w:rPr>
        <w:t xml:space="preserve">Roussel et al. (2018) </w:t>
      </w:r>
      <w:commentRangeEnd w:id="19"/>
      <w:r w:rsidR="008E7C3F">
        <w:rPr>
          <w:rStyle w:val="Kommentarzeichen"/>
        </w:rPr>
        <w:commentReference w:id="19"/>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20" w:name="_Toc143510592"/>
      <w:r>
        <w:t>2.</w:t>
      </w:r>
      <w:r w:rsidR="00B740EC">
        <w:t>4</w:t>
      </w:r>
      <w:r>
        <w:t xml:space="preserve"> </w:t>
      </w:r>
      <w:commentRangeStart w:id="21"/>
      <w:r>
        <w:t>Acceptability judgment tasks (AJTs) in linguistics</w:t>
      </w:r>
      <w:commentRangeEnd w:id="21"/>
      <w:r w:rsidR="005F5B97">
        <w:rPr>
          <w:rStyle w:val="Kommentarzeichen"/>
          <w:rFonts w:eastAsiaTheme="minorHAnsi" w:cstheme="minorBidi"/>
          <w:lang w:val="de-DE"/>
        </w:rPr>
        <w:commentReference w:id="21"/>
      </w:r>
      <w:bookmarkEnd w:id="20"/>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2"/>
      <w:commentRangeStart w:id="23"/>
      <w:commentRangeStart w:id="24"/>
      <w:r w:rsidR="000C531E">
        <w:rPr>
          <w:lang w:val="en-US"/>
        </w:rPr>
        <w:t xml:space="preserve">Chomsky (1957) </w:t>
      </w:r>
      <w:commentRangeEnd w:id="22"/>
      <w:r w:rsidR="000C531E">
        <w:rPr>
          <w:rStyle w:val="Kommentarzeichen"/>
        </w:rPr>
        <w:commentReference w:id="22"/>
      </w:r>
      <w:commentRangeEnd w:id="23"/>
      <w:r w:rsidR="000C531E">
        <w:rPr>
          <w:rStyle w:val="Kommentarzeichen"/>
        </w:rPr>
        <w:commentReference w:id="23"/>
      </w:r>
      <w:commentRangeEnd w:id="24"/>
      <w:r w:rsidR="000C531E">
        <w:rPr>
          <w:rStyle w:val="Kommentarzeichen"/>
        </w:rPr>
        <w:commentReference w:id="24"/>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D3065C9"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933C16">
        <w:rPr>
          <w:lang w:val="en-US"/>
        </w:rPr>
        <w:instrText xml:space="preserve"> ADDIN ZOTERO_ITEM CSL_CITATION {"citationID":"jguiMjkU","properties":{"formattedCitation":"(Sch\\uc0\\u252{}tze, 2016; Sprouse et al., 2013)","plainCitation":"(Schütze, 2016; Sprouse et al., 2013)","noteIndex":0},"citationItems":[{"id":291,"uris":["http://zotero.org/users/11614327/items/9RSCHKAP"],"itemData":{"id":291,"type":"article-journal","abstract":"Throughout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30160EA3"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w:t>
      </w:r>
      <w:r>
        <w:rPr>
          <w:lang w:val="en-US"/>
        </w:rPr>
        <w:lastRenderedPageBreak/>
        <w:t xml:space="preserve">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703BEBA8"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5"/>
      <w:r w:rsidR="00DE53D4">
        <w:rPr>
          <w:lang w:val="en-US"/>
        </w:rPr>
        <w:t>Liu et al.</w:t>
      </w:r>
      <w:r w:rsidR="003350C4">
        <w:rPr>
          <w:lang w:val="en-US"/>
        </w:rPr>
        <w:t>,</w:t>
      </w:r>
      <w:r w:rsidR="00DE53D4">
        <w:rPr>
          <w:lang w:val="en-US"/>
        </w:rPr>
        <w:t xml:space="preserve"> 2022</w:t>
      </w:r>
      <w:commentRangeEnd w:id="25"/>
      <w:r w:rsidR="000146DB">
        <w:rPr>
          <w:rStyle w:val="Kommentarzeichen"/>
        </w:rPr>
        <w:commentReference w:id="25"/>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2.5.</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lastRenderedPageBreak/>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6" w:name="_Toc143510593"/>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6"/>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7" w:name="_Toc143510594"/>
      <w:r>
        <w:t>3.1 Study design</w:t>
      </w:r>
      <w:bookmarkEnd w:id="27"/>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lastRenderedPageBreak/>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70FA68F3"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8"/>
      <w:r>
        <w:rPr>
          <w:rFonts w:cs="Arial"/>
          <w:szCs w:val="24"/>
          <w:lang w:val="en-US"/>
        </w:rPr>
        <w:t>their age, level of education, where they grew up, and native languag</w:t>
      </w:r>
      <w:r w:rsidR="00C61DEF">
        <w:rPr>
          <w:rFonts w:cs="Arial"/>
          <w:szCs w:val="24"/>
          <w:lang w:val="en-US"/>
        </w:rPr>
        <w:t>e/dialect</w:t>
      </w:r>
      <w:commentRangeEnd w:id="28"/>
      <w:r>
        <w:rPr>
          <w:rStyle w:val="Kommentarzeichen"/>
        </w:rPr>
        <w:commentReference w:id="28"/>
      </w:r>
      <w:r>
        <w:rPr>
          <w:rFonts w:cs="Arial"/>
          <w:szCs w:val="24"/>
          <w:lang w:val="en-US"/>
        </w:rPr>
        <w:t>.</w:t>
      </w:r>
      <w:r w:rsidR="00DE53D4">
        <w:rPr>
          <w:rFonts w:cs="Arial"/>
          <w:szCs w:val="24"/>
          <w:lang w:val="en-US"/>
        </w:rPr>
        <w:t xml:space="preserve"> Completing the entire questionnaire took the participants about </w:t>
      </w:r>
      <w:commentRangeStart w:id="29"/>
      <w:r w:rsidR="00DE53D4">
        <w:rPr>
          <w:rFonts w:cs="Arial"/>
          <w:szCs w:val="24"/>
          <w:lang w:val="en-US"/>
        </w:rPr>
        <w:t xml:space="preserve">10 minutes </w:t>
      </w:r>
      <w:commentRangeEnd w:id="29"/>
      <w:r w:rsidR="00DE53D4">
        <w:rPr>
          <w:rStyle w:val="Kommentarzeichen"/>
        </w:rPr>
        <w:commentReference w:id="29"/>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0" w:name="_Toc143510595"/>
      <w:r>
        <w:t>3.</w:t>
      </w:r>
      <w:r w:rsidR="00D95680">
        <w:t>2</w:t>
      </w:r>
      <w:r>
        <w:t xml:space="preserve"> </w:t>
      </w:r>
      <w:r w:rsidR="00CD6298">
        <w:t xml:space="preserve">Selection of </w:t>
      </w:r>
      <w:r w:rsidR="00C421A5">
        <w:t>critical and filler items</w:t>
      </w:r>
      <w:bookmarkEnd w:id="30"/>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xml:space="preserve">, </w:t>
      </w:r>
      <w:proofErr w:type="spellStart"/>
      <w:r w:rsidR="00084902" w:rsidRPr="00A73EF7">
        <w:rPr>
          <w:rFonts w:cs="Arial"/>
          <w:iCs/>
          <w:szCs w:val="24"/>
        </w:rPr>
        <w:t>until</w:t>
      </w:r>
      <w:proofErr w:type="spellEnd"/>
      <w:r w:rsidRPr="00A73EF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lastRenderedPageBreak/>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31"/>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31"/>
      <w:r w:rsidR="006630A9">
        <w:rPr>
          <w:rStyle w:val="Kommentarzeichen"/>
        </w:rPr>
        <w:commentReference w:id="31"/>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029B931E"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w:t>
      </w:r>
      <w:r>
        <w:rPr>
          <w:lang w:val="en-US"/>
        </w:rPr>
        <w:lastRenderedPageBreak/>
        <w:t xml:space="preserve">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2"/>
      <w:r w:rsidRPr="00542224">
        <w:rPr>
          <w:lang w:val="en-US"/>
        </w:rPr>
        <w:t>(own stimuli)</w:t>
      </w:r>
      <w:commentRangeEnd w:id="32"/>
      <w:r w:rsidR="00B8072C">
        <w:rPr>
          <w:rStyle w:val="Kommentarzeichen"/>
        </w:rPr>
        <w:commentReference w:id="32"/>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lastRenderedPageBreak/>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3"/>
      <w:commentRangeEnd w:id="33"/>
      <w:r>
        <w:rPr>
          <w:rStyle w:val="Kommentarzeichen"/>
        </w:rPr>
        <w:commentReference w:id="33"/>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4"/>
      <w:commentRangeEnd w:id="34"/>
      <w:r>
        <w:rPr>
          <w:rStyle w:val="Kommentarzeichen"/>
        </w:rPr>
        <w:commentReference w:id="34"/>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5" w:name="_Toc143510596"/>
      <w:r>
        <w:t>3.3 Recording of stimuli</w:t>
      </w:r>
      <w:bookmarkEnd w:id="35"/>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w:t>
      </w:r>
      <w:r w:rsidR="00696733">
        <w:rPr>
          <w:lang w:val="en-US"/>
        </w:rPr>
        <w:lastRenderedPageBreak/>
        <w:t xml:space="preserve">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1BC607DB" w:rsidR="00FA0BD8" w:rsidRPr="00FA0BD8" w:rsidRDefault="00FA0BD8" w:rsidP="009B12CA">
      <w:pPr>
        <w:pStyle w:val="Beschriftung"/>
        <w:framePr w:w="7758" w:wrap="around" w:y="2"/>
        <w:rPr>
          <w:b/>
          <w:lang w:val="en-US"/>
        </w:rPr>
      </w:pPr>
      <w:bookmarkStart w:id="36" w:name="_Toc139031147"/>
      <w:bookmarkStart w:id="37" w:name="_Toc139181603"/>
      <w:bookmarkStart w:id="38" w:name="_Toc143503600"/>
      <w:r w:rsidRPr="00FA0BD8">
        <w:rPr>
          <w:lang w:val="en-US"/>
        </w:rPr>
        <w:t xml:space="preserve">Figure </w:t>
      </w:r>
      <w:r>
        <w:fldChar w:fldCharType="begin"/>
      </w:r>
      <w:r w:rsidRPr="00FA0BD8">
        <w:rPr>
          <w:lang w:val="en-US"/>
        </w:rPr>
        <w:instrText xml:space="preserve"> SEQ Figure \* ARABIC </w:instrText>
      </w:r>
      <w:r>
        <w:fldChar w:fldCharType="separate"/>
      </w:r>
      <w:r w:rsidR="00782BE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6"/>
      <w:bookmarkEnd w:id="37"/>
      <w:bookmarkEnd w:id="38"/>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200E5438" w:rsidR="00361B94" w:rsidRPr="00FA0BD8" w:rsidRDefault="00FA0BD8" w:rsidP="009B12CA">
      <w:pPr>
        <w:pStyle w:val="Beschriftung"/>
        <w:framePr w:w="7617" w:wrap="around"/>
        <w:rPr>
          <w:lang w:val="en-US"/>
        </w:rPr>
      </w:pPr>
      <w:bookmarkStart w:id="39" w:name="_Toc139031148"/>
      <w:bookmarkStart w:id="40" w:name="_Toc139181604"/>
      <w:bookmarkStart w:id="41" w:name="_Toc143503601"/>
      <w:r w:rsidRPr="00FA0BD8">
        <w:rPr>
          <w:lang w:val="en-US"/>
        </w:rPr>
        <w:t xml:space="preserve">Figure </w:t>
      </w:r>
      <w:r>
        <w:fldChar w:fldCharType="begin"/>
      </w:r>
      <w:r w:rsidRPr="00FA0BD8">
        <w:rPr>
          <w:lang w:val="en-US"/>
        </w:rPr>
        <w:instrText xml:space="preserve"> SEQ Figure \* ARABIC </w:instrText>
      </w:r>
      <w:r>
        <w:fldChar w:fldCharType="separate"/>
      </w:r>
      <w:r w:rsidR="00782BE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9"/>
      <w:bookmarkEnd w:id="40"/>
      <w:bookmarkEnd w:id="41"/>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2" w:name="_Toc143510597"/>
      <w:r>
        <w:lastRenderedPageBreak/>
        <w:t>3.</w:t>
      </w:r>
      <w:r w:rsidR="00D95680">
        <w:t>4</w:t>
      </w:r>
      <w:r>
        <w:t xml:space="preserve"> Data collection</w:t>
      </w:r>
      <w:bookmarkEnd w:id="42"/>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1213E24F"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3"/>
      <w:r w:rsidR="00B8455D">
        <w:rPr>
          <w:rFonts w:eastAsia="Times New Roman" w:cs="Arial"/>
          <w:szCs w:val="24"/>
          <w:lang w:val="en-US" w:eastAsia="de-DE"/>
        </w:rPr>
        <w:t>cf. Prolific Academic 2019</w:t>
      </w:r>
      <w:commentRangeEnd w:id="43"/>
      <w:r w:rsidR="00B8455D">
        <w:rPr>
          <w:rStyle w:val="Kommentarzeichen"/>
        </w:rPr>
        <w:commentReference w:id="43"/>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09E812A0"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4" w:name="_Toc143510598"/>
      <w:r>
        <w:t>3.</w:t>
      </w:r>
      <w:r w:rsidR="00D95680">
        <w:t>5</w:t>
      </w:r>
      <w:r>
        <w:t xml:space="preserve"> </w:t>
      </w:r>
      <w:r w:rsidR="00735988">
        <w:t>Participant</w:t>
      </w:r>
      <w:r>
        <w:t xml:space="preserve"> recruitment and characteristics</w:t>
      </w:r>
      <w:bookmarkEnd w:id="44"/>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5" w:name="_Toc143510599"/>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5"/>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0D461BD4" w:rsidR="0091460C" w:rsidRPr="00EB7F53" w:rsidRDefault="00EB7F53" w:rsidP="00EB7F53">
      <w:pPr>
        <w:pStyle w:val="Beschriftung"/>
        <w:framePr w:wrap="around"/>
        <w:rPr>
          <w:rFonts w:cs="Arial"/>
          <w:szCs w:val="24"/>
          <w:lang w:val="en-US"/>
        </w:rPr>
      </w:pPr>
      <w:bookmarkStart w:id="46" w:name="_Toc14350360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782BE2">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6"/>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118F5067" w:rsidR="007E6DFD" w:rsidRPr="007E6DFD" w:rsidRDefault="007E6DFD" w:rsidP="007E6DFD">
      <w:pPr>
        <w:pStyle w:val="Beschriftung"/>
        <w:framePr w:wrap="around"/>
        <w:rPr>
          <w:lang w:val="en-US"/>
        </w:rPr>
      </w:pPr>
      <w:bookmarkStart w:id="47" w:name="_Toc143503603"/>
      <w:r w:rsidRPr="007E6DFD">
        <w:rPr>
          <w:lang w:val="en-US"/>
        </w:rPr>
        <w:t xml:space="preserve">Figure </w:t>
      </w:r>
      <w:r>
        <w:fldChar w:fldCharType="begin"/>
      </w:r>
      <w:r w:rsidRPr="007E6DFD">
        <w:rPr>
          <w:lang w:val="en-US"/>
        </w:rPr>
        <w:instrText xml:space="preserve"> SEQ Figure \* ARABIC </w:instrText>
      </w:r>
      <w:r>
        <w:fldChar w:fldCharType="separate"/>
      </w:r>
      <w:r w:rsidR="00782BE2">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7"/>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B04BED9" w:rsidR="0091460C" w:rsidRPr="006042A0" w:rsidRDefault="00F05839" w:rsidP="00F05839">
      <w:pPr>
        <w:pStyle w:val="Beschriftung"/>
        <w:framePr w:wrap="around"/>
        <w:rPr>
          <w:lang w:val="en-US"/>
        </w:rPr>
      </w:pPr>
      <w:bookmarkStart w:id="48" w:name="_Toc143503604"/>
      <w:r w:rsidRPr="00F05839">
        <w:rPr>
          <w:lang w:val="en-US"/>
        </w:rPr>
        <w:t xml:space="preserve">Figure </w:t>
      </w:r>
      <w:r>
        <w:fldChar w:fldCharType="begin"/>
      </w:r>
      <w:r w:rsidRPr="00F05839">
        <w:rPr>
          <w:lang w:val="en-US"/>
        </w:rPr>
        <w:instrText xml:space="preserve"> SEQ Figure \* ARABIC </w:instrText>
      </w:r>
      <w:r>
        <w:fldChar w:fldCharType="separate"/>
      </w:r>
      <w:r w:rsidR="00782BE2">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672B48C6"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49"/>
      <w:r w:rsidRPr="00665A8D">
        <w:rPr>
          <w:lang w:val="en-US"/>
        </w:rPr>
        <w:t>R Development Core Team</w:t>
      </w:r>
      <w:r>
        <w:rPr>
          <w:lang w:val="en-US"/>
        </w:rPr>
        <w:t xml:space="preserve"> 2015</w:t>
      </w:r>
      <w:commentRangeEnd w:id="49"/>
      <w:r>
        <w:rPr>
          <w:rStyle w:val="Kommentarzeichen"/>
        </w:rPr>
        <w:commentReference w:id="49"/>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50"/>
      <w:commentRangeStart w:id="51"/>
      <w:r w:rsidR="00D816B0">
        <w:rPr>
          <w:rFonts w:eastAsia="Times New Roman" w:cs="Arial"/>
          <w:szCs w:val="24"/>
          <w:lang w:val="en-US"/>
        </w:rPr>
        <w:t>Christensen 2019</w:t>
      </w:r>
      <w:commentRangeEnd w:id="50"/>
      <w:r w:rsidR="000F3E0E">
        <w:rPr>
          <w:rStyle w:val="Kommentarzeichen"/>
        </w:rPr>
        <w:commentReference w:id="50"/>
      </w:r>
      <w:commentRangeEnd w:id="51"/>
      <w:r w:rsidR="000F3E0E">
        <w:rPr>
          <w:rStyle w:val="Kommentarzeichen"/>
        </w:rPr>
        <w:commentReference w:id="51"/>
      </w:r>
      <w:r w:rsidR="00D816B0">
        <w:rPr>
          <w:rFonts w:eastAsia="Times New Roman" w:cs="Arial"/>
          <w:szCs w:val="24"/>
          <w:lang w:val="en-US"/>
        </w:rPr>
        <w:t>)</w:t>
      </w:r>
      <w:r w:rsidRPr="00F05839">
        <w:rPr>
          <w:rFonts w:eastAsia="Times New Roman" w:cs="Arial"/>
          <w:szCs w:val="24"/>
          <w:lang w:val="en-US"/>
        </w:rPr>
        <w:t xml:space="preserve">. CLMM was chosen as the statistical approach due </w:t>
      </w:r>
      <w:r w:rsidRPr="00F05839">
        <w:rPr>
          <w:rFonts w:eastAsia="Times New Roman" w:cs="Arial"/>
          <w:szCs w:val="24"/>
          <w:lang w:val="en-US"/>
        </w:rPr>
        <w:lastRenderedPageBreak/>
        <w:t>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6CCE00EE" w:rsidR="00B55A63" w:rsidRDefault="009E2894" w:rsidP="009E2894">
      <w:pPr>
        <w:pStyle w:val="Beschriftung"/>
        <w:framePr w:wrap="around"/>
        <w:rPr>
          <w:rFonts w:cs="Arial"/>
          <w:szCs w:val="24"/>
          <w:lang w:val="en-US"/>
        </w:rPr>
      </w:pPr>
      <w:bookmarkStart w:id="52" w:name="_Toc143503605"/>
      <w:r w:rsidRPr="009E2894">
        <w:rPr>
          <w:lang w:val="en-US"/>
        </w:rPr>
        <w:t xml:space="preserve">Figure </w:t>
      </w:r>
      <w:r>
        <w:fldChar w:fldCharType="begin"/>
      </w:r>
      <w:r w:rsidRPr="009E2894">
        <w:rPr>
          <w:lang w:val="en-US"/>
        </w:rPr>
        <w:instrText xml:space="preserve"> SEQ Figure \* ARABIC </w:instrText>
      </w:r>
      <w:r>
        <w:fldChar w:fldCharType="separate"/>
      </w:r>
      <w:r w:rsidR="00782BE2">
        <w:rPr>
          <w:noProof/>
          <w:lang w:val="en-US"/>
        </w:rPr>
        <w:t>6</w:t>
      </w:r>
      <w:r>
        <w:fldChar w:fldCharType="end"/>
      </w:r>
      <w:r w:rsidRPr="009E2894">
        <w:rPr>
          <w:lang w:val="en-US"/>
        </w:rPr>
        <w:t>: Comparison of participants' ratings of stimuli with and without emphasis</w:t>
      </w:r>
      <w:bookmarkEnd w:id="52"/>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003668F0" w:rsidR="00AA0CE6" w:rsidRDefault="00746153" w:rsidP="001A10B6">
      <w:pPr>
        <w:pStyle w:val="Beschriftung"/>
        <w:framePr w:w="7141" w:h="356" w:hRule="exact" w:wrap="around" w:y="6"/>
        <w:rPr>
          <w:rFonts w:cs="Arial"/>
          <w:szCs w:val="24"/>
          <w:lang w:val="en-US"/>
        </w:rPr>
      </w:pPr>
      <w:bookmarkStart w:id="53" w:name="_Toc143503606"/>
      <w:r w:rsidRPr="00746153">
        <w:rPr>
          <w:lang w:val="en-US"/>
        </w:rPr>
        <w:t xml:space="preserve">Figure </w:t>
      </w:r>
      <w:r>
        <w:fldChar w:fldCharType="begin"/>
      </w:r>
      <w:r w:rsidRPr="00746153">
        <w:rPr>
          <w:lang w:val="en-US"/>
        </w:rPr>
        <w:instrText xml:space="preserve"> SEQ Figure \* ARABIC </w:instrText>
      </w:r>
      <w:r>
        <w:fldChar w:fldCharType="separate"/>
      </w:r>
      <w:r w:rsidR="00782BE2">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3"/>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64D550B4" w:rsidR="00B55A63" w:rsidRDefault="00093BA2" w:rsidP="001A10B6">
      <w:pPr>
        <w:pStyle w:val="Beschriftung"/>
        <w:framePr w:h="431" w:hRule="exact" w:wrap="around" w:y="5"/>
        <w:rPr>
          <w:rFonts w:cs="Arial"/>
          <w:szCs w:val="24"/>
          <w:lang w:val="en-US"/>
        </w:rPr>
      </w:pPr>
      <w:bookmarkStart w:id="54" w:name="_Toc143503607"/>
      <w:r w:rsidRPr="00093BA2">
        <w:rPr>
          <w:lang w:val="en-US"/>
        </w:rPr>
        <w:t xml:space="preserve">Figure </w:t>
      </w:r>
      <w:r>
        <w:fldChar w:fldCharType="begin"/>
      </w:r>
      <w:r w:rsidRPr="00093BA2">
        <w:rPr>
          <w:lang w:val="en-US"/>
        </w:rPr>
        <w:instrText xml:space="preserve"> SEQ Figure \* ARABIC </w:instrText>
      </w:r>
      <w:r>
        <w:fldChar w:fldCharType="separate"/>
      </w:r>
      <w:r w:rsidR="00782BE2">
        <w:rPr>
          <w:noProof/>
          <w:lang w:val="en-US"/>
        </w:rPr>
        <w:t>8</w:t>
      </w:r>
      <w:r>
        <w:fldChar w:fldCharType="end"/>
      </w:r>
      <w:r w:rsidRPr="00093BA2">
        <w:rPr>
          <w:lang w:val="en-US"/>
        </w:rPr>
        <w:t>: Comparison of participants' ratings of stimuli with functional and lexical fragments.</w:t>
      </w:r>
      <w:bookmarkEnd w:id="54"/>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43510600"/>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43510601"/>
      <w:r>
        <w:t>5.1 Interpretation of the findings</w:t>
      </w:r>
      <w:bookmarkEnd w:id="56"/>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53853A83" w:rsidR="004F662F" w:rsidRPr="004F662F" w:rsidRDefault="004F662F" w:rsidP="001A10B6">
      <w:pPr>
        <w:pStyle w:val="Beschriftung"/>
        <w:framePr w:w="7952" w:h="459" w:hRule="exact" w:wrap="around"/>
        <w:rPr>
          <w:lang w:val="en-US"/>
        </w:rPr>
      </w:pPr>
      <w:bookmarkStart w:id="57" w:name="_Toc143503608"/>
      <w:r w:rsidRPr="004F662F">
        <w:rPr>
          <w:lang w:val="en-US"/>
        </w:rPr>
        <w:t xml:space="preserve">Figure </w:t>
      </w:r>
      <w:r>
        <w:fldChar w:fldCharType="begin"/>
      </w:r>
      <w:r w:rsidRPr="004F662F">
        <w:rPr>
          <w:lang w:val="en-US"/>
        </w:rPr>
        <w:instrText xml:space="preserve"> SEQ Figure \* ARABIC </w:instrText>
      </w:r>
      <w:r>
        <w:fldChar w:fldCharType="separate"/>
      </w:r>
      <w:r w:rsidR="00782BE2">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7"/>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lastRenderedPageBreak/>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50E1FD61" w:rsidR="001A10B6" w:rsidRDefault="001A10B6" w:rsidP="001A10B6">
      <w:pPr>
        <w:pStyle w:val="Beschriftung"/>
        <w:framePr w:w="7601" w:h="431" w:hRule="exact" w:wrap="around" w:y="-3303"/>
        <w:rPr>
          <w:lang w:val="en-US"/>
        </w:rPr>
      </w:pPr>
      <w:bookmarkStart w:id="58" w:name="_Toc143503609"/>
      <w:r w:rsidRPr="000C3F1A">
        <w:rPr>
          <w:lang w:val="en-US"/>
        </w:rPr>
        <w:t xml:space="preserve">Figure </w:t>
      </w:r>
      <w:r>
        <w:fldChar w:fldCharType="begin"/>
      </w:r>
      <w:r w:rsidRPr="000C3F1A">
        <w:rPr>
          <w:lang w:val="en-US"/>
        </w:rPr>
        <w:instrText xml:space="preserve"> SEQ Figure \* ARABIC </w:instrText>
      </w:r>
      <w:r>
        <w:fldChar w:fldCharType="separate"/>
      </w:r>
      <w:r w:rsidR="00782BE2">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58"/>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2F99CB15" w14:textId="77777777" w:rsidR="00DE13B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 xml:space="preserve">refers to </w:t>
      </w:r>
      <w:proofErr w:type="spellStart"/>
      <w:r>
        <w:rPr>
          <w:rFonts w:cs="Arial"/>
          <w:szCs w:val="24"/>
          <w:lang w:val="en-US"/>
        </w:rPr>
        <w:t>based</w:t>
      </w:r>
      <w:proofErr w:type="spellEnd"/>
      <w:r>
        <w:rPr>
          <w:rFonts w:cs="Arial"/>
          <w:szCs w:val="24"/>
          <w:lang w:val="en-US"/>
        </w:rPr>
        <w:t xml:space="preserve"> on the preceding clause,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w:t>
      </w:r>
      <w:r>
        <w:rPr>
          <w:rFonts w:cs="Arial"/>
          <w:szCs w:val="24"/>
          <w:lang w:val="en-US"/>
        </w:rPr>
        <w:lastRenderedPageBreak/>
        <w:t>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1DBD96F3" w:rsidR="00DE13B2" w:rsidRDefault="00DE13B2" w:rsidP="00DE13B2">
      <w:pPr>
        <w:suppressLineNumbers/>
        <w:spacing w:after="0" w:line="360" w:lineRule="auto"/>
        <w:ind w:firstLine="567"/>
        <w:jc w:val="both"/>
        <w:rPr>
          <w:rFonts w:cs="Arial"/>
          <w:szCs w:val="24"/>
          <w:lang w:val="en-US"/>
        </w:rPr>
      </w:pPr>
      <w:r>
        <w:rPr>
          <w:rFonts w:cs="Arial"/>
          <w:szCs w:val="24"/>
          <w:lang w:val="en-US"/>
        </w:rPr>
        <w:t>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judgements.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3510602"/>
      <w:r>
        <w:t>5.2 Comparison with previous studies and theoretical predictions</w:t>
      </w:r>
      <w:bookmarkEnd w:id="59"/>
    </w:p>
    <w:p w14:paraId="4AB19662" w14:textId="0212573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this subchapter</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57D407DD"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2.3</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manner in which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lastRenderedPageBreak/>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5DEB9E69"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chapter 2.3, </w:t>
      </w:r>
      <w:r w:rsidR="00834EC3" w:rsidRPr="00834EC3">
        <w:rPr>
          <w:lang w:val="en-US"/>
        </w:rPr>
        <w:t>it is established that pitch accent inherently occupies the default position, even in cases of silent reading (</w:t>
      </w:r>
      <w:r w:rsidR="00834EC3">
        <w:rPr>
          <w:lang w:val="en-US"/>
        </w:rPr>
        <w:t xml:space="preserve">cf. </w:t>
      </w:r>
      <w:proofErr w:type="spellStart"/>
      <w:r w:rsidR="00834EC3" w:rsidRPr="00834EC3">
        <w:rPr>
          <w:lang w:val="en-US"/>
        </w:rPr>
        <w:t>Rasekhi</w:t>
      </w:r>
      <w:proofErr w:type="spellEnd"/>
      <w:r w:rsidR="00834EC3" w:rsidRPr="00834EC3">
        <w:rPr>
          <w:lang w:val="en-US"/>
        </w:rPr>
        <w:t xml:space="preserve">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w:t>
      </w:r>
      <w:r w:rsidR="00DE6D45" w:rsidRPr="00DE6D45">
        <w:rPr>
          <w:lang w:val="en-US"/>
        </w:rPr>
        <w:lastRenderedPageBreak/>
        <w:t xml:space="preserve">observed across </w:t>
      </w:r>
      <w:r w:rsidR="00DE6D45">
        <w:rPr>
          <w:lang w:val="en-US"/>
        </w:rPr>
        <w:t>the</w:t>
      </w:r>
      <w:r w:rsidR="00DE6D45" w:rsidRPr="00DE6D45">
        <w:rPr>
          <w:lang w:val="en-US"/>
        </w:rPr>
        <w:t xml:space="preserve"> dialogues. However, in order to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77777777" w:rsidR="007B268E" w:rsidRDefault="00362C1C" w:rsidP="007B268E">
      <w:pPr>
        <w:spacing w:after="0" w:line="360" w:lineRule="auto"/>
        <w:ind w:firstLine="567"/>
        <w:jc w:val="both"/>
        <w:rPr>
          <w:lang w:val="en-US"/>
        </w:rPr>
      </w:pPr>
      <w:r w:rsidRPr="00362C1C">
        <w:rPr>
          <w:lang w:val="en-US"/>
        </w:rPr>
        <w:t xml:space="preserve">Conducting a comparison of the time participants took to provide their ratings could offer insights into whether understanding the dialogues without emphasis required more time compared to those with emphasis. Extended </w:t>
      </w:r>
      <w:r w:rsidRPr="00362C1C">
        <w:rPr>
          <w:lang w:val="en-US"/>
        </w:rPr>
        <w:lastRenderedPageBreak/>
        <w:t>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970855">
        <w:rPr>
          <w:lang w:val="en-US"/>
        </w:rPr>
        <w:instrText xml:space="preserve"> ADDIN ZOTERO_ITEM CSL_CITATION {"citationID":"KOHcEKK5","properties":{"formattedCitation":"(Sch\\uc0\\u252{}tze, 2016)","plainCitation":"(Schütze, 2016)","noteIndex":0},"citationItems":[{"id":291,"uris":["http://zotero.org/users/11614327/items/9RSCHKAP"],"itemData":{"id":291,"type":"article-journal","abstract":"Throughout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3807757E"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0" w:name="_Toc143510603"/>
      <w:r w:rsidRPr="007D080B">
        <w:rPr>
          <w:rFonts w:cs="Arial"/>
          <w:szCs w:val="24"/>
          <w:lang w:val="en-US"/>
        </w:rPr>
        <w:t>6</w:t>
      </w:r>
      <w:r w:rsidR="00BA120B" w:rsidRPr="007D080B">
        <w:rPr>
          <w:rFonts w:cs="Arial"/>
          <w:szCs w:val="24"/>
          <w:lang w:val="en-US"/>
        </w:rPr>
        <w:t>. Conclusions</w:t>
      </w:r>
      <w:bookmarkEnd w:id="60"/>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3510604"/>
      <w:r>
        <w:lastRenderedPageBreak/>
        <w:t>6.1 Summary of findings</w:t>
      </w:r>
      <w:bookmarkEnd w:id="61"/>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3F445A1B" w14:textId="77777777" w:rsidR="008139EC" w:rsidRDefault="008139EC" w:rsidP="00D95680">
      <w:pPr>
        <w:suppressLineNumbers/>
        <w:spacing w:after="0" w:line="360" w:lineRule="auto"/>
        <w:jc w:val="both"/>
        <w:rPr>
          <w:rFonts w:cs="Arial"/>
          <w:szCs w:val="24"/>
          <w:lang w:val="en-US"/>
        </w:rPr>
      </w:pPr>
    </w:p>
    <w:p w14:paraId="5265C244" w14:textId="5AEF7271" w:rsidR="008139EC" w:rsidRDefault="008139EC" w:rsidP="008139EC">
      <w:pPr>
        <w:spacing w:after="0" w:line="360" w:lineRule="auto"/>
        <w:ind w:firstLine="567"/>
        <w:jc w:val="both"/>
        <w:rPr>
          <w:lang w:val="en-US"/>
        </w:rPr>
      </w:pPr>
      <w:r>
        <w:rPr>
          <w:rFonts w:eastAsia="Times New Roman" w:cs="Arial"/>
          <w:szCs w:val="24"/>
          <w:lang w:val="en-US"/>
        </w:rPr>
        <w:t>T</w:t>
      </w:r>
      <w:r w:rsidRPr="00B8308B">
        <w:rPr>
          <w:rFonts w:eastAsia="Times New Roman" w:cs="Arial"/>
          <w:szCs w:val="24"/>
          <w:lang w:val="en-US"/>
        </w:rPr>
        <w:t>he findings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Pr>
          <w:rFonts w:eastAsia="Times New Roman" w:cs="Arial"/>
          <w:szCs w:val="24"/>
          <w:lang w:val="en-US"/>
        </w:rPr>
        <w:t>s</w:t>
      </w:r>
      <w:r w:rsidRPr="00B8308B">
        <w:rPr>
          <w:rFonts w:eastAsia="Times New Roman" w:cs="Arial"/>
          <w:szCs w:val="24"/>
          <w:lang w:val="en-US"/>
        </w:rPr>
        <w:t xml:space="preserve"> as opposed to lexical ones, enhanced the naturalness of contrastive fragments. </w:t>
      </w:r>
      <w:r w:rsidRPr="00F7301F">
        <w:rPr>
          <w:lang w:val="en-US"/>
        </w:rPr>
        <w:t>These results provide valuable insights into the optimal configuration of stimuli for acceptability judgments, aiming to mitigate the impact of confounding variables that could potentially affect the ratings.</w:t>
      </w:r>
    </w:p>
    <w:p w14:paraId="1CB59CAC" w14:textId="77777777" w:rsidR="008139EC" w:rsidRDefault="008139EC" w:rsidP="008139EC">
      <w:pPr>
        <w:spacing w:after="0" w:line="360" w:lineRule="auto"/>
        <w:ind w:firstLine="567"/>
        <w:jc w:val="both"/>
        <w:rPr>
          <w:lang w:val="en-US"/>
        </w:rPr>
      </w:pPr>
    </w:p>
    <w:p w14:paraId="35A22977" w14:textId="06DACC48" w:rsidR="008139EC" w:rsidRDefault="008139EC" w:rsidP="008139EC">
      <w:pPr>
        <w:spacing w:after="0" w:line="360" w:lineRule="auto"/>
        <w:ind w:firstLine="567"/>
        <w:jc w:val="both"/>
        <w:rPr>
          <w:lang w:val="en-US"/>
        </w:rPr>
      </w:pPr>
      <w:r>
        <w:rPr>
          <w:lang w:val="en-US"/>
        </w:rPr>
        <w:t>Bilingualism</w:t>
      </w:r>
    </w:p>
    <w:p w14:paraId="3F15D0C2" w14:textId="77777777" w:rsidR="008139EC" w:rsidRDefault="008139EC" w:rsidP="008139EC">
      <w:pPr>
        <w:spacing w:after="0" w:line="360" w:lineRule="auto"/>
        <w:ind w:firstLine="567"/>
        <w:jc w:val="both"/>
        <w:rPr>
          <w:lang w:val="en-US"/>
        </w:rPr>
      </w:pPr>
    </w:p>
    <w:p w14:paraId="0BDE61D5" w14:textId="0F400B4C" w:rsidR="008139EC" w:rsidRDefault="008139EC" w:rsidP="008139EC">
      <w:pPr>
        <w:spacing w:after="0" w:line="360" w:lineRule="auto"/>
        <w:ind w:firstLine="567"/>
        <w:jc w:val="both"/>
        <w:rPr>
          <w:lang w:val="en-US"/>
        </w:rPr>
      </w:pPr>
      <w:r>
        <w:rPr>
          <w:lang w:val="en-US"/>
        </w:rPr>
        <w:t>In general, very high acceptability ratings despite statistical significance</w:t>
      </w:r>
    </w:p>
    <w:p w14:paraId="7EF800C3" w14:textId="77777777" w:rsidR="008139EC" w:rsidRDefault="008139EC" w:rsidP="008139EC">
      <w:pPr>
        <w:spacing w:after="0" w:line="360" w:lineRule="auto"/>
        <w:ind w:firstLine="567"/>
        <w:jc w:val="both"/>
        <w:rPr>
          <w:lang w:val="en-US"/>
        </w:rPr>
      </w:pPr>
    </w:p>
    <w:p w14:paraId="04880449" w14:textId="77777777" w:rsidR="008139EC" w:rsidRPr="00F7301F" w:rsidRDefault="008139EC" w:rsidP="008139EC">
      <w:pPr>
        <w:spacing w:after="0" w:line="360" w:lineRule="auto"/>
        <w:ind w:firstLine="567"/>
        <w:jc w:val="both"/>
        <w:rPr>
          <w:rFonts w:eastAsia="Times New Roman" w:cs="Arial"/>
          <w:szCs w:val="24"/>
          <w:lang w:val="en-US"/>
        </w:rPr>
      </w:pPr>
    </w:p>
    <w:p w14:paraId="5B6BD20A" w14:textId="77777777" w:rsidR="008139EC" w:rsidRDefault="008139EC" w:rsidP="00D95680">
      <w:pPr>
        <w:suppressLineNumbers/>
        <w:spacing w:after="0" w:line="360" w:lineRule="auto"/>
        <w:jc w:val="both"/>
        <w:rPr>
          <w:rFonts w:cs="Arial"/>
          <w:szCs w:val="24"/>
          <w:lang w:val="en-US"/>
        </w:rPr>
      </w:pPr>
    </w:p>
    <w:p w14:paraId="38EB296E" w14:textId="77777777" w:rsidR="008139EC" w:rsidRDefault="008139EC" w:rsidP="00D95680">
      <w:pPr>
        <w:suppressLineNumbers/>
        <w:spacing w:after="0" w:line="360" w:lineRule="auto"/>
        <w:jc w:val="both"/>
        <w:rPr>
          <w:rFonts w:cs="Arial"/>
          <w:szCs w:val="24"/>
          <w:lang w:val="en-US"/>
        </w:rPr>
      </w:pP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3510605"/>
      <w:r>
        <w:t>6.2 Contributions to the field</w:t>
      </w:r>
      <w:bookmarkEnd w:id="62"/>
    </w:p>
    <w:p w14:paraId="6E93C8F8" w14:textId="54761946"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judgment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51B88C01"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judgment tasks have often relied on informal approaches. Consequently, a need </w:t>
      </w:r>
      <w:r w:rsidR="00AF62F1" w:rsidRPr="00AF62F1">
        <w:rPr>
          <w:lang w:val="en-US"/>
        </w:rPr>
        <w:lastRenderedPageBreak/>
        <w:t xml:space="preserve">arises for </w:t>
      </w:r>
      <w:r w:rsidR="00F01C07">
        <w:rPr>
          <w:lang w:val="en-US"/>
        </w:rPr>
        <w:t>formally</w:t>
      </w:r>
      <w:r w:rsidR="00AF62F1" w:rsidRPr="00AF62F1">
        <w:rPr>
          <w:lang w:val="en-US"/>
        </w:rPr>
        <w:t xml:space="preserve"> gathered data through acceptability judgment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In doing so, this study diligently aligns with the prerequisites established for conducting structured and formal acceptability judgment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3E7CCE2A"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auditory stimuli prove to be a more suitable choice for conducting acceptability judgment tasks within this specific field.</w:t>
      </w:r>
      <w:r>
        <w:rPr>
          <w:lang w:val="en-US"/>
        </w:rPr>
        <w:t xml:space="preserve"> </w:t>
      </w:r>
      <w:r w:rsidR="00B8308B" w:rsidRPr="00B8308B">
        <w:rPr>
          <w:rFonts w:eastAsia="Times New Roman" w:cs="Arial"/>
          <w:szCs w:val="24"/>
          <w:lang w:val="en-US"/>
        </w:rPr>
        <w:t>While conducting acceptability judgment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3510606"/>
      <w:r>
        <w:lastRenderedPageBreak/>
        <w:t>6.3 Limitations of the study</w:t>
      </w:r>
      <w:bookmarkEnd w:id="63"/>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that only individuals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Pr>
          <w:rFonts w:eastAsia="Times New Roman" w:cs="Arial"/>
          <w:szCs w:val="24"/>
          <w:lang w:val="en-US"/>
        </w:rPr>
        <w:t>necessitates</w:t>
      </w:r>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3510607"/>
      <w:r>
        <w:lastRenderedPageBreak/>
        <w:t>6.4 Suggestions for future research</w:t>
      </w:r>
      <w:bookmarkEnd w:id="64"/>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54B1E6FA"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whether emphasizing both contrasting words is necessary or whether it might suffice to solely apply pitch accent to the remnant, as outlined in the CRC, for identifying correlate-remnant pairings.</w:t>
      </w:r>
    </w:p>
    <w:p w14:paraId="70C66CE3"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Moreover, the results suggest a potential influence of bilingualism on acceptability judgment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351060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42B705F7" w14:textId="77777777" w:rsidR="00933C16" w:rsidRPr="00933C16" w:rsidRDefault="00FC7E5F" w:rsidP="00D0514D">
      <w:pPr>
        <w:pStyle w:val="Literaturverzeichnis"/>
        <w:spacing w:line="360" w:lineRule="auto"/>
        <w:jc w:val="both"/>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00933C16" w:rsidRPr="00933C16">
        <w:rPr>
          <w:rFonts w:cs="Arial"/>
          <w:lang w:val="en-US"/>
        </w:rPr>
        <w:t xml:space="preserve">Akinnaso, F. N. (1982). On The Differences Between Spoken and Written Language. </w:t>
      </w:r>
      <w:r w:rsidR="00933C16" w:rsidRPr="00933C16">
        <w:rPr>
          <w:rFonts w:cs="Arial"/>
          <w:i/>
          <w:iCs/>
          <w:lang w:val="en-US"/>
        </w:rPr>
        <w:t>Language and Speech</w:t>
      </w:r>
      <w:r w:rsidR="00933C16" w:rsidRPr="00933C16">
        <w:rPr>
          <w:rFonts w:cs="Arial"/>
          <w:lang w:val="en-US"/>
        </w:rPr>
        <w:t xml:space="preserve">, </w:t>
      </w:r>
      <w:r w:rsidR="00933C16" w:rsidRPr="00933C16">
        <w:rPr>
          <w:rFonts w:cs="Arial"/>
          <w:i/>
          <w:iCs/>
          <w:lang w:val="en-US"/>
        </w:rPr>
        <w:t>25</w:t>
      </w:r>
      <w:r w:rsidR="00933C16" w:rsidRPr="00933C16">
        <w:rPr>
          <w:rFonts w:cs="Arial"/>
          <w:lang w:val="en-US"/>
        </w:rPr>
        <w:t>(2), 97–125. https://doi.org/10.1177/002383098202500201</w:t>
      </w:r>
    </w:p>
    <w:p w14:paraId="026CBCC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Beckman, M. E., &amp; Ayers. (1997). </w:t>
      </w:r>
      <w:r w:rsidRPr="00933C16">
        <w:rPr>
          <w:rFonts w:cs="Arial"/>
          <w:i/>
          <w:iCs/>
          <w:lang w:val="en-US"/>
        </w:rPr>
        <w:t>Guidelines for ToBI labelling, version 3</w:t>
      </w:r>
      <w:r w:rsidRPr="00933C16">
        <w:rPr>
          <w:rFonts w:cs="Arial"/>
          <w:lang w:val="en-US"/>
        </w:rPr>
        <w:t>. The Ohio State University Research Foundation. http://www.ling.ohio-state.edu/phonetics/ToBI/ToBI.0.html</w:t>
      </w:r>
    </w:p>
    <w:p w14:paraId="2094102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Carlson, K., Frazier, L., &amp; Clifton, C. (2009). How prosody constrains comprehension: A limited effect of prosodic packaging. </w:t>
      </w:r>
      <w:r w:rsidRPr="00933C16">
        <w:rPr>
          <w:rFonts w:cs="Arial"/>
          <w:i/>
          <w:iCs/>
          <w:lang w:val="en-US"/>
        </w:rPr>
        <w:t>Lingua</w:t>
      </w:r>
      <w:r w:rsidRPr="00933C16">
        <w:rPr>
          <w:rFonts w:cs="Arial"/>
          <w:lang w:val="en-US"/>
        </w:rPr>
        <w:t xml:space="preserve">, </w:t>
      </w:r>
      <w:r w:rsidRPr="00933C16">
        <w:rPr>
          <w:rFonts w:cs="Arial"/>
          <w:i/>
          <w:iCs/>
          <w:lang w:val="en-US"/>
        </w:rPr>
        <w:t>119</w:t>
      </w:r>
      <w:r w:rsidRPr="00933C16">
        <w:rPr>
          <w:rFonts w:cs="Arial"/>
          <w:lang w:val="en-US"/>
        </w:rPr>
        <w:t>(7), 1066–1082. https://doi.org/10.1016/j.lingua.2008.11.003</w:t>
      </w:r>
    </w:p>
    <w:p w14:paraId="6B3BFEBC"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Chomsky, N., &amp; Halle, M. (1991). </w:t>
      </w:r>
      <w:r w:rsidRPr="00933C16">
        <w:rPr>
          <w:rFonts w:cs="Arial"/>
          <w:i/>
          <w:iCs/>
          <w:lang w:val="en-US"/>
        </w:rPr>
        <w:t>The sound pattern of English</w:t>
      </w:r>
      <w:r w:rsidRPr="00933C16">
        <w:rPr>
          <w:rFonts w:cs="Arial"/>
          <w:lang w:val="en-US"/>
        </w:rPr>
        <w:t xml:space="preserve"> (1st MIT Press paperback. ed). MIT Press.</w:t>
      </w:r>
    </w:p>
    <w:p w14:paraId="77A851F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Delbar, N. A. (2019). </w:t>
      </w:r>
      <w:r w:rsidRPr="00933C16">
        <w:rPr>
          <w:rFonts w:cs="Arial"/>
          <w:i/>
          <w:iCs/>
          <w:lang w:val="en-US"/>
        </w:rPr>
        <w:t>Swiping in English and Dutch: The Interaction between R-Pronouns and Modal Particles</w:t>
      </w:r>
      <w:r w:rsidRPr="00933C16">
        <w:rPr>
          <w:rFonts w:cs="Arial"/>
          <w:lang w:val="en-US"/>
        </w:rPr>
        <w:t>.</w:t>
      </w:r>
    </w:p>
    <w:p w14:paraId="0F5DE261"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Featherston, S. (2008). Thermometer judgements as linguistic evidence. </w:t>
      </w:r>
      <w:r w:rsidRPr="00933C16">
        <w:rPr>
          <w:rFonts w:cs="Arial"/>
        </w:rPr>
        <w:t xml:space="preserve">In C. M. Riehl &amp; A. Rothe (Eds.), </w:t>
      </w:r>
      <w:r w:rsidRPr="00933C16">
        <w:rPr>
          <w:rFonts w:cs="Arial"/>
          <w:i/>
          <w:iCs/>
        </w:rPr>
        <w:t>Was ist linguistische Evidenz?</w:t>
      </w:r>
      <w:r w:rsidRPr="00933C16">
        <w:rPr>
          <w:rFonts w:cs="Arial"/>
        </w:rPr>
        <w:t xml:space="preserve"> Shaker Verlag.</w:t>
      </w:r>
    </w:p>
    <w:p w14:paraId="1FC24EC6"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Féry, C. (2011). German sentence accents and embedded prosodic phrases. </w:t>
      </w:r>
      <w:r w:rsidRPr="00933C16">
        <w:rPr>
          <w:rFonts w:cs="Arial"/>
          <w:i/>
          <w:iCs/>
        </w:rPr>
        <w:t>Lingua</w:t>
      </w:r>
      <w:r w:rsidRPr="00933C16">
        <w:rPr>
          <w:rFonts w:cs="Arial"/>
        </w:rPr>
        <w:t xml:space="preserve">, </w:t>
      </w:r>
      <w:r w:rsidRPr="00933C16">
        <w:rPr>
          <w:rFonts w:cs="Arial"/>
          <w:i/>
          <w:iCs/>
        </w:rPr>
        <w:t>121</w:t>
      </w:r>
      <w:r w:rsidRPr="00933C16">
        <w:rPr>
          <w:rFonts w:cs="Arial"/>
        </w:rPr>
        <w:t>(13), 1906–1922. https://doi.org/10.1016/j.lingua.2011.07.005</w:t>
      </w:r>
    </w:p>
    <w:p w14:paraId="7C54C9DC" w14:textId="6CC06858" w:rsidR="00933C16" w:rsidRPr="00933C16" w:rsidRDefault="00933C16" w:rsidP="00D0514D">
      <w:pPr>
        <w:pStyle w:val="Literaturverzeichnis"/>
        <w:spacing w:line="360" w:lineRule="auto"/>
        <w:jc w:val="both"/>
        <w:rPr>
          <w:rFonts w:cs="Arial"/>
        </w:rPr>
      </w:pPr>
      <w:r w:rsidRPr="00933C16">
        <w:rPr>
          <w:rFonts w:cs="Arial"/>
        </w:rPr>
        <w:t xml:space="preserve">Féry, C., &amp; Herbst, L. (2004). </w:t>
      </w:r>
      <w:r w:rsidRPr="00933C16">
        <w:rPr>
          <w:rFonts w:cs="Arial"/>
          <w:lang w:val="en-US"/>
        </w:rPr>
        <w:t xml:space="preserve">German Sentence Accent Revisited. In S. Ishihara, M. Schmitz, &amp; A. Schwarz (Eds.), </w:t>
      </w:r>
      <w:r w:rsidRPr="00933C16">
        <w:rPr>
          <w:rFonts w:cs="Arial"/>
          <w:i/>
          <w:iCs/>
          <w:lang w:val="en-US"/>
        </w:rPr>
        <w:t xml:space="preserve">Working Papers of the SFB632, </w:t>
      </w:r>
      <w:r w:rsidR="007C5B90">
        <w:rPr>
          <w:rFonts w:cs="Arial"/>
          <w:i/>
          <w:iCs/>
          <w:lang w:val="en-US"/>
        </w:rPr>
        <w:t>I</w:t>
      </w:r>
      <w:r w:rsidRPr="00933C16">
        <w:rPr>
          <w:rFonts w:cs="Arial"/>
          <w:i/>
          <w:iCs/>
          <w:lang w:val="en-US"/>
        </w:rPr>
        <w:t>nterdisciplinary Studies on Information Structure (ISIS) 1</w:t>
      </w:r>
      <w:r w:rsidRPr="00933C16">
        <w:rPr>
          <w:rFonts w:cs="Arial"/>
          <w:lang w:val="en-US"/>
        </w:rPr>
        <w:t xml:space="preserve"> (pp. 43–75). </w:t>
      </w:r>
      <w:r w:rsidRPr="00933C16">
        <w:rPr>
          <w:rFonts w:cs="Arial"/>
        </w:rPr>
        <w:t>Universitätsverlag Potsdam.</w:t>
      </w:r>
    </w:p>
    <w:p w14:paraId="5BD0E525"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Franck, J., Bowers, J., Frauenfelder, U. H., &amp; Vigliocco, G. (2003). </w:t>
      </w:r>
      <w:r w:rsidRPr="00933C16">
        <w:rPr>
          <w:rFonts w:cs="Arial"/>
          <w:lang w:val="en-US"/>
        </w:rPr>
        <w:t xml:space="preserve">Orthographic influences on agreement: A case for modality-specific form effects on grammatical encoding. </w:t>
      </w:r>
      <w:r w:rsidRPr="00933C16">
        <w:rPr>
          <w:rFonts w:cs="Arial"/>
          <w:i/>
          <w:iCs/>
          <w:lang w:val="en-US"/>
        </w:rPr>
        <w:t>Language and Cognitive Processes</w:t>
      </w:r>
      <w:r w:rsidRPr="00933C16">
        <w:rPr>
          <w:rFonts w:cs="Arial"/>
          <w:lang w:val="en-US"/>
        </w:rPr>
        <w:t xml:space="preserve">, </w:t>
      </w:r>
      <w:r w:rsidRPr="00933C16">
        <w:rPr>
          <w:rFonts w:cs="Arial"/>
          <w:i/>
          <w:iCs/>
          <w:lang w:val="en-US"/>
        </w:rPr>
        <w:t>18</w:t>
      </w:r>
      <w:r w:rsidRPr="00933C16">
        <w:rPr>
          <w:rFonts w:cs="Arial"/>
          <w:lang w:val="en-US"/>
        </w:rPr>
        <w:t>(1), 61–79. https://doi.org/10.1080/01690960143000452</w:t>
      </w:r>
    </w:p>
    <w:p w14:paraId="77F3AFC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Frazier, L., &amp; Clifton, C. (1998). Comprehension of Sluiced Sentences. </w:t>
      </w:r>
      <w:r w:rsidRPr="00933C16">
        <w:rPr>
          <w:rFonts w:cs="Arial"/>
          <w:i/>
          <w:iCs/>
          <w:lang w:val="en-US"/>
        </w:rPr>
        <w:t>Language and Cognitive Processes</w:t>
      </w:r>
      <w:r w:rsidRPr="00933C16">
        <w:rPr>
          <w:rFonts w:cs="Arial"/>
          <w:lang w:val="en-US"/>
        </w:rPr>
        <w:t xml:space="preserve">, </w:t>
      </w:r>
      <w:r w:rsidRPr="00933C16">
        <w:rPr>
          <w:rFonts w:cs="Arial"/>
          <w:i/>
          <w:iCs/>
          <w:lang w:val="en-US"/>
        </w:rPr>
        <w:t>13</w:t>
      </w:r>
      <w:r w:rsidRPr="00933C16">
        <w:rPr>
          <w:rFonts w:cs="Arial"/>
          <w:lang w:val="en-US"/>
        </w:rPr>
        <w:t>(4), 499–520. https://doi.org/10.1080/016909698386474</w:t>
      </w:r>
    </w:p>
    <w:p w14:paraId="5AAA6DDB"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Frazier, L., Taft, L., Roeper, T., Clifton, C., &amp; Ehrlich, K. (1984). </w:t>
      </w:r>
      <w:r w:rsidRPr="00933C16">
        <w:rPr>
          <w:rFonts w:cs="Arial"/>
          <w:lang w:val="en-US"/>
        </w:rPr>
        <w:t xml:space="preserve">Parallel structure: A source of facilitation in sentence comprehension. </w:t>
      </w:r>
      <w:r w:rsidRPr="00933C16">
        <w:rPr>
          <w:rFonts w:cs="Arial"/>
          <w:i/>
          <w:iCs/>
          <w:lang w:val="en-US"/>
        </w:rPr>
        <w:lastRenderedPageBreak/>
        <w:t>Memory &amp; Cognition</w:t>
      </w:r>
      <w:r w:rsidRPr="00933C16">
        <w:rPr>
          <w:rFonts w:cs="Arial"/>
          <w:lang w:val="en-US"/>
        </w:rPr>
        <w:t xml:space="preserve">, </w:t>
      </w:r>
      <w:r w:rsidRPr="00933C16">
        <w:rPr>
          <w:rFonts w:cs="Arial"/>
          <w:i/>
          <w:iCs/>
          <w:lang w:val="en-US"/>
        </w:rPr>
        <w:t>12</w:t>
      </w:r>
      <w:r w:rsidRPr="00933C16">
        <w:rPr>
          <w:rFonts w:cs="Arial"/>
          <w:lang w:val="en-US"/>
        </w:rPr>
        <w:t>(5), 421–430. https://doi.org/10.3758/BF03198303</w:t>
      </w:r>
    </w:p>
    <w:p w14:paraId="5745566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Güneş, G., &amp; Lipták, A. (2023). Reprise fragments in English and Hungarian: Further support for an in-situ Q-equivalence approach to clausal ellipsis. </w:t>
      </w:r>
      <w:r w:rsidRPr="00933C16">
        <w:rPr>
          <w:rFonts w:cs="Arial"/>
          <w:i/>
          <w:iCs/>
          <w:lang w:val="en-US"/>
        </w:rPr>
        <w:t>Language</w:t>
      </w:r>
      <w:r w:rsidRPr="00933C16">
        <w:rPr>
          <w:rFonts w:cs="Arial"/>
          <w:lang w:val="en-US"/>
        </w:rPr>
        <w:t xml:space="preserve">, </w:t>
      </w:r>
      <w:r w:rsidRPr="00933C16">
        <w:rPr>
          <w:rFonts w:cs="Arial"/>
          <w:i/>
          <w:iCs/>
          <w:lang w:val="en-US"/>
        </w:rPr>
        <w:t>99</w:t>
      </w:r>
      <w:r w:rsidRPr="00933C16">
        <w:rPr>
          <w:rFonts w:cs="Arial"/>
          <w:lang w:val="en-US"/>
        </w:rPr>
        <w:t>(1), 154–191. https://doi.org/10.1353/lan.2023.0000</w:t>
      </w:r>
    </w:p>
    <w:p w14:paraId="1A0FAFB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&amp; Lipták, A. (2014). Contrast and Island Sensitivity in Clausal Ellipsis. </w:t>
      </w:r>
      <w:r w:rsidRPr="00933C16">
        <w:rPr>
          <w:rFonts w:cs="Arial"/>
          <w:i/>
          <w:iCs/>
          <w:lang w:val="en-US"/>
        </w:rPr>
        <w:t>Syntax</w:t>
      </w:r>
      <w:r w:rsidRPr="00933C16">
        <w:rPr>
          <w:rFonts w:cs="Arial"/>
          <w:lang w:val="en-US"/>
        </w:rPr>
        <w:t xml:space="preserve">, </w:t>
      </w:r>
      <w:r w:rsidRPr="00933C16">
        <w:rPr>
          <w:rFonts w:cs="Arial"/>
          <w:i/>
          <w:iCs/>
          <w:lang w:val="en-US"/>
        </w:rPr>
        <w:t>17</w:t>
      </w:r>
      <w:r w:rsidRPr="00933C16">
        <w:rPr>
          <w:rFonts w:cs="Arial"/>
          <w:lang w:val="en-US"/>
        </w:rPr>
        <w:t>(3), 189–234. https://doi.org/10.1111/synt.12018</w:t>
      </w:r>
    </w:p>
    <w:p w14:paraId="66D3D4B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(2015). Structure Modulates Similarity-Based Interference in Sluicing: An Eye Tracking study. </w:t>
      </w:r>
      <w:r w:rsidRPr="00933C16">
        <w:rPr>
          <w:rFonts w:cs="Arial"/>
          <w:i/>
          <w:iCs/>
          <w:lang w:val="en-US"/>
        </w:rPr>
        <w:t>Frontiers in Psychology</w:t>
      </w:r>
      <w:r w:rsidRPr="00933C16">
        <w:rPr>
          <w:rFonts w:cs="Arial"/>
          <w:lang w:val="en-US"/>
        </w:rPr>
        <w:t xml:space="preserve">, </w:t>
      </w:r>
      <w:r w:rsidRPr="00933C16">
        <w:rPr>
          <w:rFonts w:cs="Arial"/>
          <w:i/>
          <w:iCs/>
          <w:lang w:val="en-US"/>
        </w:rPr>
        <w:t>6</w:t>
      </w:r>
      <w:r w:rsidRPr="00933C16">
        <w:rPr>
          <w:rFonts w:cs="Arial"/>
          <w:lang w:val="en-US"/>
        </w:rPr>
        <w:t>. https://doi.org/10.3389/fpsyg.2015.01839</w:t>
      </w:r>
    </w:p>
    <w:p w14:paraId="6794724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(2016). Keep it local (and final): Remnant preferences in “let alone” ellipsis. </w:t>
      </w:r>
      <w:r w:rsidRPr="00933C16">
        <w:rPr>
          <w:rFonts w:cs="Arial"/>
          <w:i/>
          <w:iCs/>
          <w:lang w:val="en-US"/>
        </w:rPr>
        <w:t>Quarterly Journal of Experimental Psychology</w:t>
      </w:r>
      <w:r w:rsidRPr="00933C16">
        <w:rPr>
          <w:rFonts w:cs="Arial"/>
          <w:lang w:val="en-US"/>
        </w:rPr>
        <w:t xml:space="preserve">, </w:t>
      </w:r>
      <w:r w:rsidRPr="00933C16">
        <w:rPr>
          <w:rFonts w:cs="Arial"/>
          <w:i/>
          <w:iCs/>
          <w:lang w:val="en-US"/>
        </w:rPr>
        <w:t>69</w:t>
      </w:r>
      <w:r w:rsidRPr="00933C16">
        <w:rPr>
          <w:rFonts w:cs="Arial"/>
          <w:lang w:val="en-US"/>
        </w:rPr>
        <w:t>(7), 1278–1301. https://doi.org/10.1080/17470218.2015.1062526</w:t>
      </w:r>
    </w:p>
    <w:p w14:paraId="44F0188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(2018). Information Structure Preferences in Focus-Sensitive Ellipsis: How Defaults Persist. </w:t>
      </w:r>
      <w:r w:rsidRPr="00933C16">
        <w:rPr>
          <w:rFonts w:cs="Arial"/>
          <w:i/>
          <w:iCs/>
          <w:lang w:val="en-US"/>
        </w:rPr>
        <w:t>Language and Speech</w:t>
      </w:r>
      <w:r w:rsidRPr="00933C16">
        <w:rPr>
          <w:rFonts w:cs="Arial"/>
          <w:lang w:val="en-US"/>
        </w:rPr>
        <w:t xml:space="preserve">, </w:t>
      </w:r>
      <w:r w:rsidRPr="00933C16">
        <w:rPr>
          <w:rFonts w:cs="Arial"/>
          <w:i/>
          <w:iCs/>
          <w:lang w:val="en-US"/>
        </w:rPr>
        <w:t>61</w:t>
      </w:r>
      <w:r w:rsidRPr="00933C16">
        <w:rPr>
          <w:rFonts w:cs="Arial"/>
          <w:lang w:val="en-US"/>
        </w:rPr>
        <w:t>(3), 480–512. https://doi.org/10.1177/0023830917737110</w:t>
      </w:r>
    </w:p>
    <w:p w14:paraId="49E9E8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Jasso, J. (2022). </w:t>
      </w:r>
      <w:r w:rsidRPr="00933C16">
        <w:rPr>
          <w:rFonts w:cs="Arial"/>
          <w:i/>
          <w:iCs/>
          <w:lang w:val="en-US"/>
        </w:rPr>
        <w:t>How Does Parent Input Influence Bilingual Children’s Knowledge and Use of Spanish Subjunctive? A Dyadic Study</w:t>
      </w:r>
      <w:r w:rsidRPr="00933C16">
        <w:rPr>
          <w:rFonts w:cs="Arial"/>
          <w:lang w:val="en-US"/>
        </w:rPr>
        <w:t xml:space="preserve"> [Dissertation]. University of Texas at Austin.</w:t>
      </w:r>
    </w:p>
    <w:p w14:paraId="2D9BBB4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Juzek, T. S. (2016). </w:t>
      </w:r>
      <w:r w:rsidRPr="00933C16">
        <w:rPr>
          <w:rFonts w:cs="Arial"/>
          <w:i/>
          <w:iCs/>
          <w:lang w:val="en-US"/>
        </w:rPr>
        <w:t>Acceptability Judgement Tasks and Grammatical Theory</w:t>
      </w:r>
      <w:r w:rsidRPr="00933C16">
        <w:rPr>
          <w:rFonts w:cs="Arial"/>
          <w:lang w:val="en-US"/>
        </w:rPr>
        <w:t>. University of Oxford.</w:t>
      </w:r>
    </w:p>
    <w:p w14:paraId="4A6C615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Kayali, N. (2023). “Does this make sense?”: The effect of matching guise in regional accent on grammatical acceptability judgments. </w:t>
      </w:r>
      <w:r w:rsidRPr="00933C16">
        <w:rPr>
          <w:rFonts w:cs="Arial"/>
          <w:i/>
          <w:iCs/>
          <w:lang w:val="en-US"/>
        </w:rPr>
        <w:t>Proceedings of the Linguistic Society of America</w:t>
      </w:r>
      <w:r w:rsidRPr="00933C16">
        <w:rPr>
          <w:rFonts w:cs="Arial"/>
          <w:lang w:val="en-US"/>
        </w:rPr>
        <w:t xml:space="preserve">, </w:t>
      </w:r>
      <w:r w:rsidRPr="00933C16">
        <w:rPr>
          <w:rFonts w:cs="Arial"/>
          <w:i/>
          <w:iCs/>
          <w:lang w:val="en-US"/>
        </w:rPr>
        <w:t>8</w:t>
      </w:r>
      <w:r w:rsidRPr="00933C16">
        <w:rPr>
          <w:rFonts w:cs="Arial"/>
          <w:lang w:val="en-US"/>
        </w:rPr>
        <w:t>. https://doi.org/10.3765/plsa.v8i1.5525</w:t>
      </w:r>
    </w:p>
    <w:p w14:paraId="3ADE480D"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Krifka, M. (2008). Basic notions of information structure. </w:t>
      </w:r>
      <w:r w:rsidRPr="00933C16">
        <w:rPr>
          <w:rFonts w:cs="Arial"/>
          <w:i/>
          <w:iCs/>
          <w:lang w:val="en-US"/>
        </w:rPr>
        <w:t>Acta Linguistica Hungarica</w:t>
      </w:r>
      <w:r w:rsidRPr="00933C16">
        <w:rPr>
          <w:rFonts w:cs="Arial"/>
          <w:lang w:val="en-US"/>
        </w:rPr>
        <w:t xml:space="preserve">, </w:t>
      </w:r>
      <w:r w:rsidRPr="00933C16">
        <w:rPr>
          <w:rFonts w:cs="Arial"/>
          <w:i/>
          <w:iCs/>
          <w:lang w:val="en-US"/>
        </w:rPr>
        <w:t>55</w:t>
      </w:r>
      <w:r w:rsidRPr="00933C16">
        <w:rPr>
          <w:rFonts w:cs="Arial"/>
          <w:lang w:val="en-US"/>
        </w:rPr>
        <w:t>(3–4), 243–276. https://doi.org/10.1556/ALing.55.2008.3-4.2</w:t>
      </w:r>
    </w:p>
    <w:p w14:paraId="7C7EFC93"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Lambrecht, K. (1994). </w:t>
      </w:r>
      <w:r w:rsidRPr="00933C16">
        <w:rPr>
          <w:rFonts w:cs="Arial"/>
          <w:i/>
          <w:iCs/>
          <w:lang w:val="en-US"/>
        </w:rPr>
        <w:t>Information structure and sentence form: Topic, focus, and the mental representations of discourse referents</w:t>
      </w:r>
      <w:r w:rsidRPr="00933C16">
        <w:rPr>
          <w:rFonts w:cs="Arial"/>
          <w:lang w:val="en-US"/>
        </w:rPr>
        <w:t>. Cambridge University Press.</w:t>
      </w:r>
    </w:p>
    <w:p w14:paraId="2EAC9C2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Lobeck, A. C. (1995). </w:t>
      </w:r>
      <w:r w:rsidRPr="00933C16">
        <w:rPr>
          <w:rFonts w:cs="Arial"/>
          <w:i/>
          <w:iCs/>
          <w:lang w:val="en-US"/>
        </w:rPr>
        <w:t>Ellipsis: Functional heads, licensing, and identification</w:t>
      </w:r>
      <w:r w:rsidRPr="00933C16">
        <w:rPr>
          <w:rFonts w:cs="Arial"/>
          <w:lang w:val="en-US"/>
        </w:rPr>
        <w:t>. Oxford University Press.</w:t>
      </w:r>
    </w:p>
    <w:p w14:paraId="2EEF2450"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(2005). Fragments and ellipsis. </w:t>
      </w:r>
      <w:r w:rsidRPr="00933C16">
        <w:rPr>
          <w:rFonts w:cs="Arial"/>
          <w:i/>
          <w:iCs/>
          <w:lang w:val="en-US"/>
        </w:rPr>
        <w:t>Linguistics and Philosophy</w:t>
      </w:r>
      <w:r w:rsidRPr="00933C16">
        <w:rPr>
          <w:rFonts w:cs="Arial"/>
          <w:lang w:val="en-US"/>
        </w:rPr>
        <w:t xml:space="preserve">, </w:t>
      </w:r>
      <w:r w:rsidRPr="00933C16">
        <w:rPr>
          <w:rFonts w:cs="Arial"/>
          <w:i/>
          <w:iCs/>
          <w:lang w:val="en-US"/>
        </w:rPr>
        <w:t>27</w:t>
      </w:r>
      <w:r w:rsidRPr="00933C16">
        <w:rPr>
          <w:rFonts w:cs="Arial"/>
          <w:lang w:val="en-US"/>
        </w:rPr>
        <w:t>(6), 661–738. https://doi.org/10.1007/s10988-005-7378-3</w:t>
      </w:r>
    </w:p>
    <w:p w14:paraId="2750E7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(2019). Ellipsis: A survey of analytical approaches. In J. Van Craenenbroeck &amp; T. Temmerman (Eds.), </w:t>
      </w:r>
      <w:r w:rsidRPr="00933C16">
        <w:rPr>
          <w:rFonts w:cs="Arial"/>
          <w:i/>
          <w:iCs/>
          <w:lang w:val="en-US"/>
        </w:rPr>
        <w:t>The Oxford Handbook of Ellipsis</w:t>
      </w:r>
      <w:r w:rsidRPr="00933C16">
        <w:rPr>
          <w:rFonts w:cs="Arial"/>
          <w:lang w:val="en-US"/>
        </w:rPr>
        <w:t xml:space="preserve"> (1st ed., pp. 19–45). Oxford University Press. https://doi.org/10.1093/oxfordhb/9780198712398.013.2</w:t>
      </w:r>
    </w:p>
    <w:p w14:paraId="65E056A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Meurers, D., Ziai, R., Amaral, L., Boyd, A., Dimitrov, A., Metcalf, V., &amp; Ott, N. (2010). Enhancing Authentic Web Pages for Language Learners. </w:t>
      </w:r>
      <w:r w:rsidRPr="00933C16">
        <w:rPr>
          <w:rFonts w:cs="Arial"/>
          <w:i/>
          <w:iCs/>
          <w:lang w:val="en-US"/>
        </w:rPr>
        <w:t>Proceedings of the NAACL HLT 2010 Fifth Workshop on Innovative Use of NLP for Building Educational Applications</w:t>
      </w:r>
      <w:r w:rsidRPr="00933C16">
        <w:rPr>
          <w:rFonts w:cs="Arial"/>
          <w:lang w:val="en-US"/>
        </w:rPr>
        <w:t>.</w:t>
      </w:r>
    </w:p>
    <w:p w14:paraId="6A6865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Opitz, A., &amp; Bordag, D. (2022). THE IMPACT OF ORTHOGRAPHY ON LEXICAL ACCESS: THE CASE OF CAPITALIZATION AND WORD CATEGORY INFORMATION IN L1 AND L2 GERMAN. </w:t>
      </w:r>
      <w:r w:rsidRPr="00933C16">
        <w:rPr>
          <w:rFonts w:cs="Arial"/>
          <w:i/>
          <w:iCs/>
          <w:lang w:val="en-US"/>
        </w:rPr>
        <w:t>Studies in Second Language Acquisition</w:t>
      </w:r>
      <w:r w:rsidRPr="00933C16">
        <w:rPr>
          <w:rFonts w:cs="Arial"/>
          <w:lang w:val="en-US"/>
        </w:rPr>
        <w:t xml:space="preserve">, </w:t>
      </w:r>
      <w:r w:rsidRPr="00933C16">
        <w:rPr>
          <w:rFonts w:cs="Arial"/>
          <w:i/>
          <w:iCs/>
          <w:lang w:val="en-US"/>
        </w:rPr>
        <w:t>44</w:t>
      </w:r>
      <w:r w:rsidRPr="00933C16">
        <w:rPr>
          <w:rFonts w:cs="Arial"/>
          <w:lang w:val="en-US"/>
        </w:rPr>
        <w:t>(4), 1194–1209. https://doi.org/10.1017/S0272263121000711</w:t>
      </w:r>
    </w:p>
    <w:p w14:paraId="420B123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Palan, S., &amp; Schitter, C. (2018). Prolific.ac—A subject pool for online experiments. </w:t>
      </w:r>
      <w:r w:rsidRPr="00933C16">
        <w:rPr>
          <w:rFonts w:cs="Arial"/>
          <w:i/>
          <w:iCs/>
          <w:lang w:val="en-US"/>
        </w:rPr>
        <w:t>Journal of Behavioral and Experimental Finance</w:t>
      </w:r>
      <w:r w:rsidRPr="00933C16">
        <w:rPr>
          <w:rFonts w:cs="Arial"/>
          <w:lang w:val="en-US"/>
        </w:rPr>
        <w:t xml:space="preserve">, </w:t>
      </w:r>
      <w:r w:rsidRPr="00933C16">
        <w:rPr>
          <w:rFonts w:cs="Arial"/>
          <w:i/>
          <w:iCs/>
          <w:lang w:val="en-US"/>
        </w:rPr>
        <w:t>17</w:t>
      </w:r>
      <w:r w:rsidRPr="00933C16">
        <w:rPr>
          <w:rFonts w:cs="Arial"/>
          <w:lang w:val="en-US"/>
        </w:rPr>
        <w:t>, 22–27. https://doi.org/10.1016/j.jbef.2017.12.004</w:t>
      </w:r>
    </w:p>
    <w:p w14:paraId="3DC636E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Phillips, C., &amp; Parker, D. (2014). The psycholinguistics of ellipsis. </w:t>
      </w:r>
      <w:r w:rsidRPr="00933C16">
        <w:rPr>
          <w:rFonts w:cs="Arial"/>
          <w:i/>
          <w:iCs/>
          <w:lang w:val="en-US"/>
        </w:rPr>
        <w:t>Lingua</w:t>
      </w:r>
      <w:r w:rsidRPr="00933C16">
        <w:rPr>
          <w:rFonts w:cs="Arial"/>
          <w:lang w:val="en-US"/>
        </w:rPr>
        <w:t xml:space="preserve">, </w:t>
      </w:r>
      <w:r w:rsidRPr="00933C16">
        <w:rPr>
          <w:rFonts w:cs="Arial"/>
          <w:i/>
          <w:iCs/>
          <w:lang w:val="en-US"/>
        </w:rPr>
        <w:t>151</w:t>
      </w:r>
      <w:r w:rsidRPr="00933C16">
        <w:rPr>
          <w:rFonts w:cs="Arial"/>
          <w:lang w:val="en-US"/>
        </w:rPr>
        <w:t>, 78–95. https://doi.org/10.1016/j.lingua.2013.10.003</w:t>
      </w:r>
    </w:p>
    <w:p w14:paraId="7834DF8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Rasekhi, V., &amp; Harris, J. A. (2021). Resolving ambiguous polarity stripping ellipsis structures in Persian. </w:t>
      </w:r>
      <w:r w:rsidRPr="00933C16">
        <w:rPr>
          <w:rFonts w:cs="Arial"/>
          <w:i/>
          <w:iCs/>
          <w:lang w:val="en-US"/>
        </w:rPr>
        <w:t>Glossa: A Journal of General Linguistics</w:t>
      </w:r>
      <w:r w:rsidRPr="00933C16">
        <w:rPr>
          <w:rFonts w:cs="Arial"/>
          <w:lang w:val="en-US"/>
        </w:rPr>
        <w:t xml:space="preserve">, </w:t>
      </w:r>
      <w:r w:rsidRPr="00933C16">
        <w:rPr>
          <w:rFonts w:cs="Arial"/>
          <w:i/>
          <w:iCs/>
          <w:lang w:val="en-US"/>
        </w:rPr>
        <w:t>6</w:t>
      </w:r>
      <w:r w:rsidRPr="00933C16">
        <w:rPr>
          <w:rFonts w:cs="Arial"/>
          <w:lang w:val="en-US"/>
        </w:rPr>
        <w:t>(1), 1–31. https://doi.org/10.16995/glossa.5881</w:t>
      </w:r>
    </w:p>
    <w:p w14:paraId="1F6F62C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Schütze, C. T. (2016). The empirical base of linguistics: Grammaticality judgments and linguistic methodology [Application/pdf]. </w:t>
      </w:r>
      <w:r w:rsidRPr="00933C16">
        <w:rPr>
          <w:rFonts w:cs="Arial"/>
          <w:i/>
          <w:iCs/>
          <w:lang w:val="en-US"/>
        </w:rPr>
        <w:t>Classics in Linguistics</w:t>
      </w:r>
      <w:r w:rsidRPr="00933C16">
        <w:rPr>
          <w:rFonts w:cs="Arial"/>
          <w:lang w:val="en-US"/>
        </w:rPr>
        <w:t>, 1.01 MB. https://doi.org/10.17169/LANGSCI.B89.100</w:t>
      </w:r>
    </w:p>
    <w:p w14:paraId="0F2D63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Sedarous, Y., &amp; Namboodiripad, S. (2020). Using audio stimuli in acceptability judgment experiments. </w:t>
      </w:r>
      <w:r w:rsidRPr="00933C16">
        <w:rPr>
          <w:rFonts w:cs="Arial"/>
          <w:i/>
          <w:iCs/>
          <w:lang w:val="en-US"/>
        </w:rPr>
        <w:t>Language and Linguistics Compass</w:t>
      </w:r>
      <w:r w:rsidRPr="00933C16">
        <w:rPr>
          <w:rFonts w:cs="Arial"/>
          <w:lang w:val="en-US"/>
        </w:rPr>
        <w:t xml:space="preserve">, </w:t>
      </w:r>
      <w:r w:rsidRPr="00933C16">
        <w:rPr>
          <w:rFonts w:cs="Arial"/>
          <w:i/>
          <w:iCs/>
          <w:lang w:val="en-US"/>
        </w:rPr>
        <w:t>14</w:t>
      </w:r>
      <w:r w:rsidRPr="00933C16">
        <w:rPr>
          <w:rFonts w:cs="Arial"/>
          <w:lang w:val="en-US"/>
        </w:rPr>
        <w:t>(8), 1–21. https://doi.org/10.1111/lnc3.12377</w:t>
      </w:r>
    </w:p>
    <w:p w14:paraId="5B4F255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Sprouse, J., Schütze, C. T., &amp; Almeida, D. (2013). A comparison of informal and formal acceptability judgments using a random sample from Linguistic Inquiry 2001–2010. </w:t>
      </w:r>
      <w:r w:rsidRPr="00933C16">
        <w:rPr>
          <w:rFonts w:cs="Arial"/>
          <w:i/>
          <w:iCs/>
          <w:lang w:val="en-US"/>
        </w:rPr>
        <w:t>Lingua</w:t>
      </w:r>
      <w:r w:rsidRPr="00933C16">
        <w:rPr>
          <w:rFonts w:cs="Arial"/>
          <w:lang w:val="en-US"/>
        </w:rPr>
        <w:t xml:space="preserve">, </w:t>
      </w:r>
      <w:r w:rsidRPr="00933C16">
        <w:rPr>
          <w:rFonts w:cs="Arial"/>
          <w:i/>
          <w:iCs/>
          <w:lang w:val="en-US"/>
        </w:rPr>
        <w:t>134</w:t>
      </w:r>
      <w:r w:rsidRPr="00933C16">
        <w:rPr>
          <w:rFonts w:cs="Arial"/>
          <w:lang w:val="en-US"/>
        </w:rPr>
        <w:t>, 219–248. https://doi.org/10.1016/j.lingua.2013.07.002</w:t>
      </w:r>
    </w:p>
    <w:p w14:paraId="0657DCB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M. (2012). Focus and givenness: A unified approach. In I. Kučerová &amp; A. Neeleman (Eds.), </w:t>
      </w:r>
      <w:r w:rsidRPr="00933C16">
        <w:rPr>
          <w:rFonts w:cs="Arial"/>
          <w:i/>
          <w:iCs/>
          <w:lang w:val="en-US"/>
        </w:rPr>
        <w:t>Contrasts and Positions in Information Structure</w:t>
      </w:r>
      <w:r w:rsidRPr="00933C16">
        <w:rPr>
          <w:rFonts w:cs="Arial"/>
          <w:lang w:val="en-US"/>
        </w:rPr>
        <w:t xml:space="preserve"> (1st ed., pp. 102–147). Cambridge University Press. https://doi.org/10.1017/CBO9780511740084.007</w:t>
      </w:r>
    </w:p>
    <w:p w14:paraId="73BAF9B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P. S. (1999). The synthesis of German contrastive focus. </w:t>
      </w:r>
      <w:r w:rsidRPr="00933C16">
        <w:rPr>
          <w:rFonts w:cs="Arial"/>
          <w:i/>
          <w:iCs/>
          <w:lang w:val="en-US"/>
        </w:rPr>
        <w:t>Proceedings of the 14th ICPhS</w:t>
      </w:r>
      <w:r w:rsidRPr="00933C16">
        <w:rPr>
          <w:rFonts w:cs="Arial"/>
          <w:lang w:val="en-US"/>
        </w:rPr>
        <w:t>, 1529–1532.</w:t>
      </w:r>
    </w:p>
    <w:p w14:paraId="670C071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Wierzba, M., Brown, J. M. M., &amp; Fanselow, G. (2023). The syntactic flexibility of German and English idioms: Evidence from acceptability rating experiments. </w:t>
      </w:r>
      <w:r w:rsidRPr="00933C16">
        <w:rPr>
          <w:rFonts w:cs="Arial"/>
          <w:i/>
          <w:iCs/>
          <w:lang w:val="en-US"/>
        </w:rPr>
        <w:t>Journal of Linguistics</w:t>
      </w:r>
      <w:r w:rsidRPr="00933C16">
        <w:rPr>
          <w:rFonts w:cs="Arial"/>
          <w:lang w:val="en-US"/>
        </w:rPr>
        <w:t>, 1–38. https://doi.org/10.1017/S0022226723000105</w:t>
      </w:r>
    </w:p>
    <w:p w14:paraId="53794DE1" w14:textId="77777777" w:rsidR="00933C16" w:rsidRPr="006940F1" w:rsidRDefault="00933C16" w:rsidP="00D0514D">
      <w:pPr>
        <w:pStyle w:val="Literaturverzeichnis"/>
        <w:spacing w:line="360" w:lineRule="auto"/>
        <w:jc w:val="both"/>
        <w:rPr>
          <w:rFonts w:cs="Arial"/>
          <w:lang w:val="en-US"/>
        </w:rPr>
      </w:pPr>
      <w:r w:rsidRPr="00933C16">
        <w:rPr>
          <w:rFonts w:cs="Arial"/>
          <w:lang w:val="en-US"/>
        </w:rPr>
        <w:t xml:space="preserve">Winkler, S. (2019). Ellipsis and Prosody. In J. Van Craenenbroeck &amp; T. Temmerman (Eds.), </w:t>
      </w:r>
      <w:r w:rsidRPr="00933C16">
        <w:rPr>
          <w:rFonts w:cs="Arial"/>
          <w:i/>
          <w:iCs/>
          <w:lang w:val="en-US"/>
        </w:rPr>
        <w:t>The Oxford Handbook of Ellipsis</w:t>
      </w:r>
      <w:r w:rsidRPr="00933C16">
        <w:rPr>
          <w:rFonts w:cs="Arial"/>
          <w:lang w:val="en-US"/>
        </w:rPr>
        <w:t xml:space="preserve"> (1st ed., pp. 357–386). </w:t>
      </w:r>
      <w:r w:rsidRPr="006940F1">
        <w:rPr>
          <w:rFonts w:cs="Arial"/>
          <w:lang w:val="en-US"/>
        </w:rPr>
        <w:t>Oxford University Press. https://doi.org/10.1093/oxfordhb/9780198712398.013.15</w:t>
      </w:r>
    </w:p>
    <w:p w14:paraId="4087753A" w14:textId="72929FF0"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3510609"/>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3510610"/>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43510611"/>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43510612"/>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w:t>
      </w:r>
      <w:commentRangeStart w:id="72"/>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2"/>
      <w:r w:rsidR="00234F01">
        <w:rPr>
          <w:rStyle w:val="Kommentarzeichen"/>
        </w:rPr>
        <w:commentReference w:id="72"/>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3"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2"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6"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7"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8"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9"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21"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2"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3"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4"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5"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8"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9"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1"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2"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3"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4"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3"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9"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0"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1"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2"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0F5F" w14:textId="77777777" w:rsidR="002476BC" w:rsidRDefault="002476BC" w:rsidP="00D0261B">
      <w:pPr>
        <w:spacing w:after="0" w:line="240" w:lineRule="auto"/>
      </w:pPr>
      <w:r>
        <w:separator/>
      </w:r>
    </w:p>
  </w:endnote>
  <w:endnote w:type="continuationSeparator" w:id="0">
    <w:p w14:paraId="3284F468" w14:textId="77777777" w:rsidR="002476BC" w:rsidRDefault="002476B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8DD1" w14:textId="77777777" w:rsidR="002476BC" w:rsidRDefault="002476BC" w:rsidP="00D0261B">
      <w:pPr>
        <w:spacing w:after="0" w:line="240" w:lineRule="auto"/>
      </w:pPr>
      <w:r>
        <w:separator/>
      </w:r>
    </w:p>
  </w:footnote>
  <w:footnote w:type="continuationSeparator" w:id="0">
    <w:p w14:paraId="47AE0776" w14:textId="77777777" w:rsidR="002476BC" w:rsidRDefault="002476BC"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277C"/>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D7B"/>
    <w:rsid w:val="002C2F95"/>
    <w:rsid w:val="002C3326"/>
    <w:rsid w:val="002C3943"/>
    <w:rsid w:val="002C3C00"/>
    <w:rsid w:val="002C5756"/>
    <w:rsid w:val="002C6CD8"/>
    <w:rsid w:val="002D02E5"/>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57C54"/>
    <w:rsid w:val="0036051F"/>
    <w:rsid w:val="00360757"/>
    <w:rsid w:val="00361B94"/>
    <w:rsid w:val="00362452"/>
    <w:rsid w:val="00362C1C"/>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4C3A"/>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D7E14"/>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46CB0"/>
    <w:rsid w:val="00753780"/>
    <w:rsid w:val="007549BB"/>
    <w:rsid w:val="007553BA"/>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73BE"/>
    <w:rsid w:val="0083006D"/>
    <w:rsid w:val="008337FA"/>
    <w:rsid w:val="00834219"/>
    <w:rsid w:val="00834EC3"/>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B7A0D"/>
    <w:rsid w:val="008C0716"/>
    <w:rsid w:val="008C0BBF"/>
    <w:rsid w:val="008C367A"/>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3453"/>
    <w:rsid w:val="00963BCD"/>
    <w:rsid w:val="00964033"/>
    <w:rsid w:val="00965492"/>
    <w:rsid w:val="00966F0F"/>
    <w:rsid w:val="0097031B"/>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29F7"/>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62F1"/>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498E"/>
    <w:rsid w:val="00FA4B65"/>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32567</Words>
  <Characters>185637</Characters>
  <Application>Microsoft Office Word</Application>
  <DocSecurity>0</DocSecurity>
  <Lines>1546</Lines>
  <Paragraphs>435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470</cp:revision>
  <cp:lastPrinted>2023-08-21T09:42:00Z</cp:lastPrinted>
  <dcterms:created xsi:type="dcterms:W3CDTF">2023-06-20T09:43:00Z</dcterms:created>
  <dcterms:modified xsi:type="dcterms:W3CDTF">2023-08-21T10:29:00Z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id="KVHZuxyf"/&gt;&lt;style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