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4426B" w:rsidRDefault="00257634" w:rsidP="006C170E">
      <w:pPr>
        <w:suppressLineNumbers/>
        <w:spacing w:after="0" w:line="360" w:lineRule="auto"/>
        <w:jc w:val="center"/>
        <w:rPr>
          <w:rFonts w:cs="Arial"/>
          <w:szCs w:val="24"/>
        </w:rPr>
      </w:pPr>
      <w:r w:rsidRPr="00B4426B">
        <w:rPr>
          <w:rFonts w:cs="Arial"/>
          <w:szCs w:val="24"/>
        </w:rPr>
        <w:t>Miriam Schiele</w:t>
      </w:r>
    </w:p>
    <w:p w14:paraId="75E54B00" w14:textId="77777777" w:rsidR="00B225D6" w:rsidRPr="00B4426B" w:rsidRDefault="00B225D6" w:rsidP="006C170E">
      <w:pPr>
        <w:suppressLineNumbers/>
        <w:spacing w:after="0" w:line="360" w:lineRule="auto"/>
        <w:jc w:val="center"/>
        <w:rPr>
          <w:rFonts w:cs="Arial"/>
          <w:szCs w:val="24"/>
        </w:rPr>
      </w:pPr>
      <w:r w:rsidRPr="00B4426B">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2AF2A19" w14:textId="5E87EE0E" w:rsidR="00CB7BD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B7BD6" w:rsidRPr="00233D60">
        <w:rPr>
          <w:rFonts w:cs="Arial"/>
          <w:noProof/>
          <w:lang w:val="en-US"/>
        </w:rPr>
        <w:t>1. Introduction</w:t>
      </w:r>
      <w:r w:rsidR="00CB7BD6" w:rsidRPr="00CB7BD6">
        <w:rPr>
          <w:noProof/>
          <w:lang w:val="en-US"/>
        </w:rPr>
        <w:tab/>
      </w:r>
      <w:r w:rsidR="00CB7BD6">
        <w:rPr>
          <w:noProof/>
        </w:rPr>
        <w:fldChar w:fldCharType="begin"/>
      </w:r>
      <w:r w:rsidR="00CB7BD6" w:rsidRPr="00CB7BD6">
        <w:rPr>
          <w:noProof/>
          <w:lang w:val="en-US"/>
        </w:rPr>
        <w:instrText xml:space="preserve"> PAGEREF _Toc140048885 \h </w:instrText>
      </w:r>
      <w:r w:rsidR="00CB7BD6">
        <w:rPr>
          <w:noProof/>
        </w:rPr>
      </w:r>
      <w:r w:rsidR="00CB7BD6">
        <w:rPr>
          <w:noProof/>
        </w:rPr>
        <w:fldChar w:fldCharType="separate"/>
      </w:r>
      <w:r w:rsidR="00CB7BD6" w:rsidRPr="00CB7BD6">
        <w:rPr>
          <w:noProof/>
          <w:lang w:val="en-US"/>
        </w:rPr>
        <w:t>6</w:t>
      </w:r>
      <w:r w:rsidR="00CB7BD6">
        <w:rPr>
          <w:noProof/>
        </w:rPr>
        <w:fldChar w:fldCharType="end"/>
      </w:r>
    </w:p>
    <w:p w14:paraId="44EEE9FC" w14:textId="7B41419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1.1 Background and motivation</w:t>
      </w:r>
      <w:r w:rsidRPr="00CB7BD6">
        <w:rPr>
          <w:noProof/>
          <w:lang w:val="en-US"/>
        </w:rPr>
        <w:tab/>
      </w:r>
      <w:r>
        <w:rPr>
          <w:noProof/>
        </w:rPr>
        <w:fldChar w:fldCharType="begin"/>
      </w:r>
      <w:r w:rsidRPr="00CB7BD6">
        <w:rPr>
          <w:noProof/>
          <w:lang w:val="en-US"/>
        </w:rPr>
        <w:instrText xml:space="preserve"> PAGEREF _Toc140048886 \h </w:instrText>
      </w:r>
      <w:r>
        <w:rPr>
          <w:noProof/>
        </w:rPr>
      </w:r>
      <w:r>
        <w:rPr>
          <w:noProof/>
        </w:rPr>
        <w:fldChar w:fldCharType="separate"/>
      </w:r>
      <w:r w:rsidRPr="00CB7BD6">
        <w:rPr>
          <w:noProof/>
          <w:lang w:val="en-US"/>
        </w:rPr>
        <w:t>6</w:t>
      </w:r>
      <w:r>
        <w:rPr>
          <w:noProof/>
        </w:rPr>
        <w:fldChar w:fldCharType="end"/>
      </w:r>
    </w:p>
    <w:p w14:paraId="1C933E7E" w14:textId="2C29646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1.2 Research questions and objectives</w:t>
      </w:r>
      <w:r w:rsidRPr="00CB7BD6">
        <w:rPr>
          <w:noProof/>
          <w:lang w:val="en-US"/>
        </w:rPr>
        <w:tab/>
      </w:r>
      <w:r>
        <w:rPr>
          <w:noProof/>
        </w:rPr>
        <w:fldChar w:fldCharType="begin"/>
      </w:r>
      <w:r w:rsidRPr="00CB7BD6">
        <w:rPr>
          <w:noProof/>
          <w:lang w:val="en-US"/>
        </w:rPr>
        <w:instrText xml:space="preserve"> PAGEREF _Toc140048887 \h </w:instrText>
      </w:r>
      <w:r>
        <w:rPr>
          <w:noProof/>
        </w:rPr>
      </w:r>
      <w:r>
        <w:rPr>
          <w:noProof/>
        </w:rPr>
        <w:fldChar w:fldCharType="separate"/>
      </w:r>
      <w:r w:rsidRPr="00CB7BD6">
        <w:rPr>
          <w:noProof/>
          <w:lang w:val="en-US"/>
        </w:rPr>
        <w:t>7</w:t>
      </w:r>
      <w:r>
        <w:rPr>
          <w:noProof/>
        </w:rPr>
        <w:fldChar w:fldCharType="end"/>
      </w:r>
    </w:p>
    <w:p w14:paraId="57D1285C" w14:textId="3124F18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1.3 Significance of the study</w:t>
      </w:r>
      <w:r w:rsidRPr="00CB7BD6">
        <w:rPr>
          <w:noProof/>
          <w:lang w:val="en-US"/>
        </w:rPr>
        <w:tab/>
      </w:r>
      <w:r>
        <w:rPr>
          <w:noProof/>
        </w:rPr>
        <w:fldChar w:fldCharType="begin"/>
      </w:r>
      <w:r w:rsidRPr="00CB7BD6">
        <w:rPr>
          <w:noProof/>
          <w:lang w:val="en-US"/>
        </w:rPr>
        <w:instrText xml:space="preserve"> PAGEREF _Toc140048888 \h </w:instrText>
      </w:r>
      <w:r>
        <w:rPr>
          <w:noProof/>
        </w:rPr>
      </w:r>
      <w:r>
        <w:rPr>
          <w:noProof/>
        </w:rPr>
        <w:fldChar w:fldCharType="separate"/>
      </w:r>
      <w:r w:rsidRPr="00CB7BD6">
        <w:rPr>
          <w:noProof/>
          <w:lang w:val="en-US"/>
        </w:rPr>
        <w:t>8</w:t>
      </w:r>
      <w:r>
        <w:rPr>
          <w:noProof/>
        </w:rPr>
        <w:fldChar w:fldCharType="end"/>
      </w:r>
    </w:p>
    <w:p w14:paraId="0E06414B" w14:textId="1962B623"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1.4 Scope and limitations</w:t>
      </w:r>
      <w:r w:rsidRPr="00CB7BD6">
        <w:rPr>
          <w:noProof/>
          <w:lang w:val="en-US"/>
        </w:rPr>
        <w:tab/>
      </w:r>
      <w:r>
        <w:rPr>
          <w:noProof/>
        </w:rPr>
        <w:fldChar w:fldCharType="begin"/>
      </w:r>
      <w:r w:rsidRPr="00CB7BD6">
        <w:rPr>
          <w:noProof/>
          <w:lang w:val="en-US"/>
        </w:rPr>
        <w:instrText xml:space="preserve"> PAGEREF _Toc140048889 \h </w:instrText>
      </w:r>
      <w:r>
        <w:rPr>
          <w:noProof/>
        </w:rPr>
      </w:r>
      <w:r>
        <w:rPr>
          <w:noProof/>
        </w:rPr>
        <w:fldChar w:fldCharType="separate"/>
      </w:r>
      <w:r w:rsidRPr="00CB7BD6">
        <w:rPr>
          <w:noProof/>
          <w:lang w:val="en-US"/>
        </w:rPr>
        <w:t>10</w:t>
      </w:r>
      <w:r>
        <w:rPr>
          <w:noProof/>
        </w:rPr>
        <w:fldChar w:fldCharType="end"/>
      </w:r>
    </w:p>
    <w:p w14:paraId="210394FE" w14:textId="07BFF50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2. Literary review</w:t>
      </w:r>
      <w:r w:rsidRPr="00CB7BD6">
        <w:rPr>
          <w:noProof/>
          <w:lang w:val="en-US"/>
        </w:rPr>
        <w:tab/>
      </w:r>
      <w:r>
        <w:rPr>
          <w:noProof/>
        </w:rPr>
        <w:fldChar w:fldCharType="begin"/>
      </w:r>
      <w:r w:rsidRPr="00CB7BD6">
        <w:rPr>
          <w:noProof/>
          <w:lang w:val="en-US"/>
        </w:rPr>
        <w:instrText xml:space="preserve"> PAGEREF _Toc140048890 \h </w:instrText>
      </w:r>
      <w:r>
        <w:rPr>
          <w:noProof/>
        </w:rPr>
      </w:r>
      <w:r>
        <w:rPr>
          <w:noProof/>
        </w:rPr>
        <w:fldChar w:fldCharType="separate"/>
      </w:r>
      <w:r w:rsidRPr="00CB7BD6">
        <w:rPr>
          <w:noProof/>
          <w:lang w:val="en-US"/>
        </w:rPr>
        <w:t>11</w:t>
      </w:r>
      <w:r>
        <w:rPr>
          <w:noProof/>
        </w:rPr>
        <w:fldChar w:fldCharType="end"/>
      </w:r>
    </w:p>
    <w:p w14:paraId="21779756" w14:textId="33415CE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2.1 Two research paradigms of ellipsis</w:t>
      </w:r>
      <w:r w:rsidRPr="00CB7BD6">
        <w:rPr>
          <w:noProof/>
          <w:lang w:val="en-US"/>
        </w:rPr>
        <w:tab/>
      </w:r>
      <w:r>
        <w:rPr>
          <w:noProof/>
        </w:rPr>
        <w:fldChar w:fldCharType="begin"/>
      </w:r>
      <w:r w:rsidRPr="00CB7BD6">
        <w:rPr>
          <w:noProof/>
          <w:lang w:val="en-US"/>
        </w:rPr>
        <w:instrText xml:space="preserve"> PAGEREF _Toc140048891 \h </w:instrText>
      </w:r>
      <w:r>
        <w:rPr>
          <w:noProof/>
        </w:rPr>
      </w:r>
      <w:r>
        <w:rPr>
          <w:noProof/>
        </w:rPr>
        <w:fldChar w:fldCharType="separate"/>
      </w:r>
      <w:r w:rsidRPr="00CB7BD6">
        <w:rPr>
          <w:noProof/>
          <w:lang w:val="en-US"/>
        </w:rPr>
        <w:t>11</w:t>
      </w:r>
      <w:r>
        <w:rPr>
          <w:noProof/>
        </w:rPr>
        <w:fldChar w:fldCharType="end"/>
      </w:r>
    </w:p>
    <w:p w14:paraId="03F58787" w14:textId="7BCBE89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2.2 Fragment theory and its linguistic foundations</w:t>
      </w:r>
      <w:r w:rsidRPr="00CB7BD6">
        <w:rPr>
          <w:noProof/>
          <w:lang w:val="en-US"/>
        </w:rPr>
        <w:tab/>
      </w:r>
      <w:r>
        <w:rPr>
          <w:noProof/>
        </w:rPr>
        <w:fldChar w:fldCharType="begin"/>
      </w:r>
      <w:r w:rsidRPr="00CB7BD6">
        <w:rPr>
          <w:noProof/>
          <w:lang w:val="en-US"/>
        </w:rPr>
        <w:instrText xml:space="preserve"> PAGEREF _Toc140048892 \h </w:instrText>
      </w:r>
      <w:r>
        <w:rPr>
          <w:noProof/>
        </w:rPr>
      </w:r>
      <w:r>
        <w:rPr>
          <w:noProof/>
        </w:rPr>
        <w:fldChar w:fldCharType="separate"/>
      </w:r>
      <w:r w:rsidRPr="00CB7BD6">
        <w:rPr>
          <w:noProof/>
          <w:lang w:val="en-US"/>
        </w:rPr>
        <w:t>13</w:t>
      </w:r>
      <w:r>
        <w:rPr>
          <w:noProof/>
        </w:rPr>
        <w:fldChar w:fldCharType="end"/>
      </w:r>
    </w:p>
    <w:p w14:paraId="7D5CEBE1" w14:textId="3C26B5A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2.3 Contrastive focus</w:t>
      </w:r>
      <w:r w:rsidRPr="00CB7BD6">
        <w:rPr>
          <w:noProof/>
          <w:lang w:val="en-US"/>
        </w:rPr>
        <w:tab/>
      </w:r>
      <w:r>
        <w:rPr>
          <w:noProof/>
        </w:rPr>
        <w:fldChar w:fldCharType="begin"/>
      </w:r>
      <w:r w:rsidRPr="00CB7BD6">
        <w:rPr>
          <w:noProof/>
          <w:lang w:val="en-US"/>
        </w:rPr>
        <w:instrText xml:space="preserve"> PAGEREF _Toc140048893 \h </w:instrText>
      </w:r>
      <w:r>
        <w:rPr>
          <w:noProof/>
        </w:rPr>
      </w:r>
      <w:r>
        <w:rPr>
          <w:noProof/>
        </w:rPr>
        <w:fldChar w:fldCharType="separate"/>
      </w:r>
      <w:r w:rsidRPr="00CB7BD6">
        <w:rPr>
          <w:noProof/>
          <w:lang w:val="en-US"/>
        </w:rPr>
        <w:t>14</w:t>
      </w:r>
      <w:r>
        <w:rPr>
          <w:noProof/>
        </w:rPr>
        <w:fldChar w:fldCharType="end"/>
      </w:r>
    </w:p>
    <w:p w14:paraId="70D20C86" w14:textId="4196C73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2.4 The comprehension of fragmentary answers</w:t>
      </w:r>
      <w:r w:rsidRPr="00CB7BD6">
        <w:rPr>
          <w:noProof/>
          <w:lang w:val="en-US"/>
        </w:rPr>
        <w:tab/>
      </w:r>
      <w:r>
        <w:rPr>
          <w:noProof/>
        </w:rPr>
        <w:fldChar w:fldCharType="begin"/>
      </w:r>
      <w:r w:rsidRPr="00CB7BD6">
        <w:rPr>
          <w:noProof/>
          <w:lang w:val="en-US"/>
        </w:rPr>
        <w:instrText xml:space="preserve"> PAGEREF _Toc140048894 \h </w:instrText>
      </w:r>
      <w:r>
        <w:rPr>
          <w:noProof/>
        </w:rPr>
      </w:r>
      <w:r>
        <w:rPr>
          <w:noProof/>
        </w:rPr>
        <w:fldChar w:fldCharType="separate"/>
      </w:r>
      <w:r w:rsidRPr="00CB7BD6">
        <w:rPr>
          <w:noProof/>
          <w:lang w:val="en-US"/>
        </w:rPr>
        <w:t>15</w:t>
      </w:r>
      <w:r>
        <w:rPr>
          <w:noProof/>
        </w:rPr>
        <w:fldChar w:fldCharType="end"/>
      </w:r>
    </w:p>
    <w:p w14:paraId="45375F33" w14:textId="6C059E8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2.5 Acceptability judgment tasks (AJTs) in linguistics</w:t>
      </w:r>
      <w:r w:rsidRPr="00CB7BD6">
        <w:rPr>
          <w:noProof/>
          <w:lang w:val="en-US"/>
        </w:rPr>
        <w:tab/>
      </w:r>
      <w:r>
        <w:rPr>
          <w:noProof/>
        </w:rPr>
        <w:fldChar w:fldCharType="begin"/>
      </w:r>
      <w:r w:rsidRPr="00CB7BD6">
        <w:rPr>
          <w:noProof/>
          <w:lang w:val="en-US"/>
        </w:rPr>
        <w:instrText xml:space="preserve"> PAGEREF _Toc140048895 \h </w:instrText>
      </w:r>
      <w:r>
        <w:rPr>
          <w:noProof/>
        </w:rPr>
      </w:r>
      <w:r>
        <w:rPr>
          <w:noProof/>
        </w:rPr>
        <w:fldChar w:fldCharType="separate"/>
      </w:r>
      <w:r w:rsidRPr="00CB7BD6">
        <w:rPr>
          <w:noProof/>
          <w:lang w:val="en-US"/>
        </w:rPr>
        <w:t>18</w:t>
      </w:r>
      <w:r>
        <w:rPr>
          <w:noProof/>
        </w:rPr>
        <w:fldChar w:fldCharType="end"/>
      </w:r>
    </w:p>
    <w:p w14:paraId="784BFE5E" w14:textId="7712D0B9"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3. Data and method</w:t>
      </w:r>
      <w:r w:rsidRPr="00CB7BD6">
        <w:rPr>
          <w:noProof/>
          <w:lang w:val="en-US"/>
        </w:rPr>
        <w:tab/>
      </w:r>
      <w:r>
        <w:rPr>
          <w:noProof/>
        </w:rPr>
        <w:fldChar w:fldCharType="begin"/>
      </w:r>
      <w:r w:rsidRPr="00CB7BD6">
        <w:rPr>
          <w:noProof/>
          <w:lang w:val="en-US"/>
        </w:rPr>
        <w:instrText xml:space="preserve"> PAGEREF _Toc140048896 \h </w:instrText>
      </w:r>
      <w:r>
        <w:rPr>
          <w:noProof/>
        </w:rPr>
      </w:r>
      <w:r>
        <w:rPr>
          <w:noProof/>
        </w:rPr>
        <w:fldChar w:fldCharType="separate"/>
      </w:r>
      <w:r w:rsidRPr="00CB7BD6">
        <w:rPr>
          <w:noProof/>
          <w:lang w:val="en-US"/>
        </w:rPr>
        <w:t>21</w:t>
      </w:r>
      <w:r>
        <w:rPr>
          <w:noProof/>
        </w:rPr>
        <w:fldChar w:fldCharType="end"/>
      </w:r>
    </w:p>
    <w:p w14:paraId="166A49FF" w14:textId="318DF94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3.1 Study design</w:t>
      </w:r>
      <w:r w:rsidRPr="00CB7BD6">
        <w:rPr>
          <w:noProof/>
          <w:lang w:val="en-US"/>
        </w:rPr>
        <w:tab/>
      </w:r>
      <w:r>
        <w:rPr>
          <w:noProof/>
        </w:rPr>
        <w:fldChar w:fldCharType="begin"/>
      </w:r>
      <w:r w:rsidRPr="00CB7BD6">
        <w:rPr>
          <w:noProof/>
          <w:lang w:val="en-US"/>
        </w:rPr>
        <w:instrText xml:space="preserve"> PAGEREF _Toc140048897 \h </w:instrText>
      </w:r>
      <w:r>
        <w:rPr>
          <w:noProof/>
        </w:rPr>
      </w:r>
      <w:r>
        <w:rPr>
          <w:noProof/>
        </w:rPr>
        <w:fldChar w:fldCharType="separate"/>
      </w:r>
      <w:r w:rsidRPr="00CB7BD6">
        <w:rPr>
          <w:noProof/>
          <w:lang w:val="en-US"/>
        </w:rPr>
        <w:t>21</w:t>
      </w:r>
      <w:r>
        <w:rPr>
          <w:noProof/>
        </w:rPr>
        <w:fldChar w:fldCharType="end"/>
      </w:r>
    </w:p>
    <w:p w14:paraId="06A57A35" w14:textId="2B7E878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3.2 Selection of critical and filler items</w:t>
      </w:r>
      <w:r w:rsidRPr="00CB7BD6">
        <w:rPr>
          <w:noProof/>
          <w:lang w:val="en-US"/>
        </w:rPr>
        <w:tab/>
      </w:r>
      <w:r>
        <w:rPr>
          <w:noProof/>
        </w:rPr>
        <w:fldChar w:fldCharType="begin"/>
      </w:r>
      <w:r w:rsidRPr="00CB7BD6">
        <w:rPr>
          <w:noProof/>
          <w:lang w:val="en-US"/>
        </w:rPr>
        <w:instrText xml:space="preserve"> PAGEREF _Toc140048898 \h </w:instrText>
      </w:r>
      <w:r>
        <w:rPr>
          <w:noProof/>
        </w:rPr>
      </w:r>
      <w:r>
        <w:rPr>
          <w:noProof/>
        </w:rPr>
        <w:fldChar w:fldCharType="separate"/>
      </w:r>
      <w:r w:rsidRPr="00CB7BD6">
        <w:rPr>
          <w:noProof/>
          <w:lang w:val="en-US"/>
        </w:rPr>
        <w:t>23</w:t>
      </w:r>
      <w:r>
        <w:rPr>
          <w:noProof/>
        </w:rPr>
        <w:fldChar w:fldCharType="end"/>
      </w:r>
    </w:p>
    <w:p w14:paraId="154DEA12" w14:textId="79C4313B"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3.3 Recording of stimuli</w:t>
      </w:r>
      <w:r w:rsidRPr="00CB7BD6">
        <w:rPr>
          <w:noProof/>
          <w:lang w:val="en-US"/>
        </w:rPr>
        <w:tab/>
      </w:r>
      <w:r>
        <w:rPr>
          <w:noProof/>
        </w:rPr>
        <w:fldChar w:fldCharType="begin"/>
      </w:r>
      <w:r w:rsidRPr="00CB7BD6">
        <w:rPr>
          <w:noProof/>
          <w:lang w:val="en-US"/>
        </w:rPr>
        <w:instrText xml:space="preserve"> PAGEREF _Toc140048899 \h </w:instrText>
      </w:r>
      <w:r>
        <w:rPr>
          <w:noProof/>
        </w:rPr>
      </w:r>
      <w:r>
        <w:rPr>
          <w:noProof/>
        </w:rPr>
        <w:fldChar w:fldCharType="separate"/>
      </w:r>
      <w:r w:rsidRPr="00CB7BD6">
        <w:rPr>
          <w:noProof/>
          <w:lang w:val="en-US"/>
        </w:rPr>
        <w:t>27</w:t>
      </w:r>
      <w:r>
        <w:rPr>
          <w:noProof/>
        </w:rPr>
        <w:fldChar w:fldCharType="end"/>
      </w:r>
    </w:p>
    <w:p w14:paraId="69196B76" w14:textId="560D04C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3.4 Data collection</w:t>
      </w:r>
      <w:r w:rsidRPr="00CB7BD6">
        <w:rPr>
          <w:noProof/>
          <w:lang w:val="en-US"/>
        </w:rPr>
        <w:tab/>
      </w:r>
      <w:r>
        <w:rPr>
          <w:noProof/>
        </w:rPr>
        <w:fldChar w:fldCharType="begin"/>
      </w:r>
      <w:r w:rsidRPr="00CB7BD6">
        <w:rPr>
          <w:noProof/>
          <w:lang w:val="en-US"/>
        </w:rPr>
        <w:instrText xml:space="preserve"> PAGEREF _Toc140048900 \h </w:instrText>
      </w:r>
      <w:r>
        <w:rPr>
          <w:noProof/>
        </w:rPr>
      </w:r>
      <w:r>
        <w:rPr>
          <w:noProof/>
        </w:rPr>
        <w:fldChar w:fldCharType="separate"/>
      </w:r>
      <w:r w:rsidRPr="00CB7BD6">
        <w:rPr>
          <w:noProof/>
          <w:lang w:val="en-US"/>
        </w:rPr>
        <w:t>29</w:t>
      </w:r>
      <w:r>
        <w:rPr>
          <w:noProof/>
        </w:rPr>
        <w:fldChar w:fldCharType="end"/>
      </w:r>
    </w:p>
    <w:p w14:paraId="0F3C6D2E" w14:textId="5E4A15E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3.5 Participant recruitment and characteristics</w:t>
      </w:r>
      <w:r w:rsidRPr="00CB7BD6">
        <w:rPr>
          <w:noProof/>
          <w:lang w:val="en-US"/>
        </w:rPr>
        <w:tab/>
      </w:r>
      <w:r>
        <w:rPr>
          <w:noProof/>
        </w:rPr>
        <w:fldChar w:fldCharType="begin"/>
      </w:r>
      <w:r w:rsidRPr="00CB7BD6">
        <w:rPr>
          <w:noProof/>
          <w:lang w:val="en-US"/>
        </w:rPr>
        <w:instrText xml:space="preserve"> PAGEREF _Toc140048901 \h </w:instrText>
      </w:r>
      <w:r>
        <w:rPr>
          <w:noProof/>
        </w:rPr>
      </w:r>
      <w:r>
        <w:rPr>
          <w:noProof/>
        </w:rPr>
        <w:fldChar w:fldCharType="separate"/>
      </w:r>
      <w:r w:rsidRPr="00CB7BD6">
        <w:rPr>
          <w:noProof/>
          <w:lang w:val="en-US"/>
        </w:rPr>
        <w:t>29</w:t>
      </w:r>
      <w:r>
        <w:rPr>
          <w:noProof/>
        </w:rPr>
        <w:fldChar w:fldCharType="end"/>
      </w:r>
    </w:p>
    <w:p w14:paraId="1C3532FD" w14:textId="47E5981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3.6 Data analysis</w:t>
      </w:r>
      <w:r w:rsidRPr="00CB7BD6">
        <w:rPr>
          <w:noProof/>
          <w:lang w:val="en-US"/>
        </w:rPr>
        <w:tab/>
      </w:r>
      <w:r>
        <w:rPr>
          <w:noProof/>
        </w:rPr>
        <w:fldChar w:fldCharType="begin"/>
      </w:r>
      <w:r w:rsidRPr="00CB7BD6">
        <w:rPr>
          <w:noProof/>
          <w:lang w:val="en-US"/>
        </w:rPr>
        <w:instrText xml:space="preserve"> PAGEREF _Toc140048902 \h </w:instrText>
      </w:r>
      <w:r>
        <w:rPr>
          <w:noProof/>
        </w:rPr>
      </w:r>
      <w:r>
        <w:rPr>
          <w:noProof/>
        </w:rPr>
        <w:fldChar w:fldCharType="separate"/>
      </w:r>
      <w:r w:rsidRPr="00CB7BD6">
        <w:rPr>
          <w:noProof/>
          <w:lang w:val="en-US"/>
        </w:rPr>
        <w:t>29</w:t>
      </w:r>
      <w:r>
        <w:rPr>
          <w:noProof/>
        </w:rPr>
        <w:fldChar w:fldCharType="end"/>
      </w:r>
    </w:p>
    <w:p w14:paraId="3FF1CD01" w14:textId="531C20C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4. Results</w:t>
      </w:r>
      <w:r w:rsidRPr="00CB7BD6">
        <w:rPr>
          <w:noProof/>
          <w:lang w:val="en-US"/>
        </w:rPr>
        <w:tab/>
      </w:r>
      <w:r>
        <w:rPr>
          <w:noProof/>
        </w:rPr>
        <w:fldChar w:fldCharType="begin"/>
      </w:r>
      <w:r w:rsidRPr="00CB7BD6">
        <w:rPr>
          <w:noProof/>
          <w:lang w:val="en-US"/>
        </w:rPr>
        <w:instrText xml:space="preserve"> PAGEREF _Toc140048903 \h </w:instrText>
      </w:r>
      <w:r>
        <w:rPr>
          <w:noProof/>
        </w:rPr>
      </w:r>
      <w:r>
        <w:rPr>
          <w:noProof/>
        </w:rPr>
        <w:fldChar w:fldCharType="separate"/>
      </w:r>
      <w:r w:rsidRPr="00CB7BD6">
        <w:rPr>
          <w:noProof/>
          <w:lang w:val="en-US"/>
        </w:rPr>
        <w:t>30</w:t>
      </w:r>
      <w:r>
        <w:rPr>
          <w:noProof/>
        </w:rPr>
        <w:fldChar w:fldCharType="end"/>
      </w:r>
    </w:p>
    <w:p w14:paraId="3A5288F0" w14:textId="5990620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5. Discussion</w:t>
      </w:r>
      <w:r w:rsidRPr="00CB7BD6">
        <w:rPr>
          <w:noProof/>
          <w:lang w:val="en-US"/>
        </w:rPr>
        <w:tab/>
      </w:r>
      <w:r>
        <w:rPr>
          <w:noProof/>
        </w:rPr>
        <w:fldChar w:fldCharType="begin"/>
      </w:r>
      <w:r w:rsidRPr="00CB7BD6">
        <w:rPr>
          <w:noProof/>
          <w:lang w:val="en-US"/>
        </w:rPr>
        <w:instrText xml:space="preserve"> PAGEREF _Toc140048904 \h </w:instrText>
      </w:r>
      <w:r>
        <w:rPr>
          <w:noProof/>
        </w:rPr>
      </w:r>
      <w:r>
        <w:rPr>
          <w:noProof/>
        </w:rPr>
        <w:fldChar w:fldCharType="separate"/>
      </w:r>
      <w:r w:rsidRPr="00CB7BD6">
        <w:rPr>
          <w:noProof/>
          <w:lang w:val="en-US"/>
        </w:rPr>
        <w:t>30</w:t>
      </w:r>
      <w:r>
        <w:rPr>
          <w:noProof/>
        </w:rPr>
        <w:fldChar w:fldCharType="end"/>
      </w:r>
    </w:p>
    <w:p w14:paraId="0B5C3668" w14:textId="6F54B51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5.1 Interpretation of the findings</w:t>
      </w:r>
      <w:r w:rsidRPr="00CB7BD6">
        <w:rPr>
          <w:noProof/>
          <w:lang w:val="en-US"/>
        </w:rPr>
        <w:tab/>
      </w:r>
      <w:r>
        <w:rPr>
          <w:noProof/>
        </w:rPr>
        <w:fldChar w:fldCharType="begin"/>
      </w:r>
      <w:r w:rsidRPr="00CB7BD6">
        <w:rPr>
          <w:noProof/>
          <w:lang w:val="en-US"/>
        </w:rPr>
        <w:instrText xml:space="preserve"> PAGEREF _Toc140048905 \h </w:instrText>
      </w:r>
      <w:r>
        <w:rPr>
          <w:noProof/>
        </w:rPr>
      </w:r>
      <w:r>
        <w:rPr>
          <w:noProof/>
        </w:rPr>
        <w:fldChar w:fldCharType="separate"/>
      </w:r>
      <w:r w:rsidRPr="00CB7BD6">
        <w:rPr>
          <w:noProof/>
          <w:lang w:val="en-US"/>
        </w:rPr>
        <w:t>30</w:t>
      </w:r>
      <w:r>
        <w:rPr>
          <w:noProof/>
        </w:rPr>
        <w:fldChar w:fldCharType="end"/>
      </w:r>
    </w:p>
    <w:p w14:paraId="6B9FF7BD" w14:textId="6FD9ACE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5.2 Comparison with previous studies and theoretical predictions</w:t>
      </w:r>
      <w:r w:rsidRPr="00CB7BD6">
        <w:rPr>
          <w:noProof/>
          <w:lang w:val="en-US"/>
        </w:rPr>
        <w:tab/>
      </w:r>
      <w:r>
        <w:rPr>
          <w:noProof/>
        </w:rPr>
        <w:fldChar w:fldCharType="begin"/>
      </w:r>
      <w:r w:rsidRPr="00CB7BD6">
        <w:rPr>
          <w:noProof/>
          <w:lang w:val="en-US"/>
        </w:rPr>
        <w:instrText xml:space="preserve"> PAGEREF _Toc140048906 \h </w:instrText>
      </w:r>
      <w:r>
        <w:rPr>
          <w:noProof/>
        </w:rPr>
      </w:r>
      <w:r>
        <w:rPr>
          <w:noProof/>
        </w:rPr>
        <w:fldChar w:fldCharType="separate"/>
      </w:r>
      <w:r w:rsidRPr="00CB7BD6">
        <w:rPr>
          <w:noProof/>
          <w:lang w:val="en-US"/>
        </w:rPr>
        <w:t>30</w:t>
      </w:r>
      <w:r>
        <w:rPr>
          <w:noProof/>
        </w:rPr>
        <w:fldChar w:fldCharType="end"/>
      </w:r>
    </w:p>
    <w:p w14:paraId="72F00432" w14:textId="1EA1590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5.3 Implications for the understanding of German fragments</w:t>
      </w:r>
      <w:r w:rsidRPr="00CB7BD6">
        <w:rPr>
          <w:noProof/>
          <w:lang w:val="en-US"/>
        </w:rPr>
        <w:tab/>
      </w:r>
      <w:r>
        <w:rPr>
          <w:noProof/>
        </w:rPr>
        <w:fldChar w:fldCharType="begin"/>
      </w:r>
      <w:r w:rsidRPr="00CB7BD6">
        <w:rPr>
          <w:noProof/>
          <w:lang w:val="en-US"/>
        </w:rPr>
        <w:instrText xml:space="preserve"> PAGEREF _Toc140048907 \h </w:instrText>
      </w:r>
      <w:r>
        <w:rPr>
          <w:noProof/>
        </w:rPr>
      </w:r>
      <w:r>
        <w:rPr>
          <w:noProof/>
        </w:rPr>
        <w:fldChar w:fldCharType="separate"/>
      </w:r>
      <w:r w:rsidRPr="00CB7BD6">
        <w:rPr>
          <w:noProof/>
          <w:lang w:val="en-US"/>
        </w:rPr>
        <w:t>30</w:t>
      </w:r>
      <w:r>
        <w:rPr>
          <w:noProof/>
        </w:rPr>
        <w:fldChar w:fldCharType="end"/>
      </w:r>
    </w:p>
    <w:p w14:paraId="7CDDD9C9" w14:textId="2195847B"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6. Conclusions</w:t>
      </w:r>
      <w:r w:rsidRPr="00CB7BD6">
        <w:rPr>
          <w:noProof/>
          <w:lang w:val="en-US"/>
        </w:rPr>
        <w:tab/>
      </w:r>
      <w:r>
        <w:rPr>
          <w:noProof/>
        </w:rPr>
        <w:fldChar w:fldCharType="begin"/>
      </w:r>
      <w:r w:rsidRPr="00CB7BD6">
        <w:rPr>
          <w:noProof/>
          <w:lang w:val="en-US"/>
        </w:rPr>
        <w:instrText xml:space="preserve"> PAGEREF _Toc140048908 \h </w:instrText>
      </w:r>
      <w:r>
        <w:rPr>
          <w:noProof/>
        </w:rPr>
      </w:r>
      <w:r>
        <w:rPr>
          <w:noProof/>
        </w:rPr>
        <w:fldChar w:fldCharType="separate"/>
      </w:r>
      <w:r w:rsidRPr="00CB7BD6">
        <w:rPr>
          <w:noProof/>
          <w:lang w:val="en-US"/>
        </w:rPr>
        <w:t>30</w:t>
      </w:r>
      <w:r>
        <w:rPr>
          <w:noProof/>
        </w:rPr>
        <w:fldChar w:fldCharType="end"/>
      </w:r>
    </w:p>
    <w:p w14:paraId="65F8FC50" w14:textId="51430F4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6.1 Summary of findings</w:t>
      </w:r>
      <w:r w:rsidRPr="00CB7BD6">
        <w:rPr>
          <w:noProof/>
          <w:lang w:val="en-US"/>
        </w:rPr>
        <w:tab/>
      </w:r>
      <w:r>
        <w:rPr>
          <w:noProof/>
        </w:rPr>
        <w:fldChar w:fldCharType="begin"/>
      </w:r>
      <w:r w:rsidRPr="00CB7BD6">
        <w:rPr>
          <w:noProof/>
          <w:lang w:val="en-US"/>
        </w:rPr>
        <w:instrText xml:space="preserve"> PAGEREF _Toc140048909 \h </w:instrText>
      </w:r>
      <w:r>
        <w:rPr>
          <w:noProof/>
        </w:rPr>
      </w:r>
      <w:r>
        <w:rPr>
          <w:noProof/>
        </w:rPr>
        <w:fldChar w:fldCharType="separate"/>
      </w:r>
      <w:r w:rsidRPr="00CB7BD6">
        <w:rPr>
          <w:noProof/>
          <w:lang w:val="en-US"/>
        </w:rPr>
        <w:t>31</w:t>
      </w:r>
      <w:r>
        <w:rPr>
          <w:noProof/>
        </w:rPr>
        <w:fldChar w:fldCharType="end"/>
      </w:r>
    </w:p>
    <w:p w14:paraId="1BF4727D" w14:textId="61F9256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6.2 Contributions to the field</w:t>
      </w:r>
      <w:r w:rsidRPr="00CB7BD6">
        <w:rPr>
          <w:noProof/>
          <w:lang w:val="en-US"/>
        </w:rPr>
        <w:tab/>
      </w:r>
      <w:r>
        <w:rPr>
          <w:noProof/>
        </w:rPr>
        <w:fldChar w:fldCharType="begin"/>
      </w:r>
      <w:r w:rsidRPr="00CB7BD6">
        <w:rPr>
          <w:noProof/>
          <w:lang w:val="en-US"/>
        </w:rPr>
        <w:instrText xml:space="preserve"> PAGEREF _Toc140048910 \h </w:instrText>
      </w:r>
      <w:r>
        <w:rPr>
          <w:noProof/>
        </w:rPr>
      </w:r>
      <w:r>
        <w:rPr>
          <w:noProof/>
        </w:rPr>
        <w:fldChar w:fldCharType="separate"/>
      </w:r>
      <w:r w:rsidRPr="00CB7BD6">
        <w:rPr>
          <w:noProof/>
          <w:lang w:val="en-US"/>
        </w:rPr>
        <w:t>31</w:t>
      </w:r>
      <w:r>
        <w:rPr>
          <w:noProof/>
        </w:rPr>
        <w:fldChar w:fldCharType="end"/>
      </w:r>
    </w:p>
    <w:p w14:paraId="0BD8EEB2" w14:textId="42C50BE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6.3 Limitations of the study</w:t>
      </w:r>
      <w:r w:rsidRPr="00CB7BD6">
        <w:rPr>
          <w:noProof/>
          <w:lang w:val="en-US"/>
        </w:rPr>
        <w:tab/>
      </w:r>
      <w:r>
        <w:rPr>
          <w:noProof/>
        </w:rPr>
        <w:fldChar w:fldCharType="begin"/>
      </w:r>
      <w:r w:rsidRPr="00CB7BD6">
        <w:rPr>
          <w:noProof/>
          <w:lang w:val="en-US"/>
        </w:rPr>
        <w:instrText xml:space="preserve"> PAGEREF _Toc140048911 \h </w:instrText>
      </w:r>
      <w:r>
        <w:rPr>
          <w:noProof/>
        </w:rPr>
      </w:r>
      <w:r>
        <w:rPr>
          <w:noProof/>
        </w:rPr>
        <w:fldChar w:fldCharType="separate"/>
      </w:r>
      <w:r w:rsidRPr="00CB7BD6">
        <w:rPr>
          <w:noProof/>
          <w:lang w:val="en-US"/>
        </w:rPr>
        <w:t>31</w:t>
      </w:r>
      <w:r>
        <w:rPr>
          <w:noProof/>
        </w:rPr>
        <w:fldChar w:fldCharType="end"/>
      </w:r>
    </w:p>
    <w:p w14:paraId="1C49C881" w14:textId="224D835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6.4 Suggestions for future research</w:t>
      </w:r>
      <w:r w:rsidRPr="00CB7BD6">
        <w:rPr>
          <w:noProof/>
          <w:lang w:val="en-US"/>
        </w:rPr>
        <w:tab/>
      </w:r>
      <w:r>
        <w:rPr>
          <w:noProof/>
        </w:rPr>
        <w:fldChar w:fldCharType="begin"/>
      </w:r>
      <w:r w:rsidRPr="00CB7BD6">
        <w:rPr>
          <w:noProof/>
          <w:lang w:val="en-US"/>
        </w:rPr>
        <w:instrText xml:space="preserve"> PAGEREF _Toc140048912 \h </w:instrText>
      </w:r>
      <w:r>
        <w:rPr>
          <w:noProof/>
        </w:rPr>
      </w:r>
      <w:r>
        <w:rPr>
          <w:noProof/>
        </w:rPr>
        <w:fldChar w:fldCharType="separate"/>
      </w:r>
      <w:r w:rsidRPr="00CB7BD6">
        <w:rPr>
          <w:noProof/>
          <w:lang w:val="en-US"/>
        </w:rPr>
        <w:t>31</w:t>
      </w:r>
      <w:r>
        <w:rPr>
          <w:noProof/>
        </w:rPr>
        <w:fldChar w:fldCharType="end"/>
      </w:r>
    </w:p>
    <w:p w14:paraId="559DCC49" w14:textId="6D78CC2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7. References</w:t>
      </w:r>
      <w:r w:rsidRPr="00CB7BD6">
        <w:rPr>
          <w:noProof/>
          <w:lang w:val="en-US"/>
        </w:rPr>
        <w:tab/>
      </w:r>
      <w:r>
        <w:rPr>
          <w:noProof/>
        </w:rPr>
        <w:fldChar w:fldCharType="begin"/>
      </w:r>
      <w:r w:rsidRPr="00CB7BD6">
        <w:rPr>
          <w:noProof/>
          <w:lang w:val="en-US"/>
        </w:rPr>
        <w:instrText xml:space="preserve"> PAGEREF _Toc140048913 \h </w:instrText>
      </w:r>
      <w:r>
        <w:rPr>
          <w:noProof/>
        </w:rPr>
      </w:r>
      <w:r>
        <w:rPr>
          <w:noProof/>
        </w:rPr>
        <w:fldChar w:fldCharType="separate"/>
      </w:r>
      <w:r w:rsidRPr="00CB7BD6">
        <w:rPr>
          <w:noProof/>
          <w:lang w:val="en-US"/>
        </w:rPr>
        <w:t>32</w:t>
      </w:r>
      <w:r>
        <w:rPr>
          <w:noProof/>
        </w:rPr>
        <w:fldChar w:fldCharType="end"/>
      </w:r>
    </w:p>
    <w:p w14:paraId="21B2FB0A" w14:textId="14997AA4"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8. Appendix</w:t>
      </w:r>
      <w:r w:rsidRPr="00CB7BD6">
        <w:rPr>
          <w:noProof/>
          <w:lang w:val="en-US"/>
        </w:rPr>
        <w:tab/>
      </w:r>
      <w:r>
        <w:rPr>
          <w:noProof/>
        </w:rPr>
        <w:fldChar w:fldCharType="begin"/>
      </w:r>
      <w:r w:rsidRPr="00CB7BD6">
        <w:rPr>
          <w:noProof/>
          <w:lang w:val="en-US"/>
        </w:rPr>
        <w:instrText xml:space="preserve"> PAGEREF _Toc140048914 \h </w:instrText>
      </w:r>
      <w:r>
        <w:rPr>
          <w:noProof/>
        </w:rPr>
      </w:r>
      <w:r>
        <w:rPr>
          <w:noProof/>
        </w:rPr>
        <w:fldChar w:fldCharType="separate"/>
      </w:r>
      <w:r w:rsidRPr="00CB7BD6">
        <w:rPr>
          <w:noProof/>
          <w:lang w:val="en-US"/>
        </w:rPr>
        <w:t>33</w:t>
      </w:r>
      <w:r>
        <w:rPr>
          <w:noProof/>
        </w:rPr>
        <w:fldChar w:fldCharType="end"/>
      </w:r>
    </w:p>
    <w:p w14:paraId="6A558566" w14:textId="62EA87D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8.1 Abbreviations, symbols and other notational conventions</w:t>
      </w:r>
      <w:r w:rsidRPr="00CB7BD6">
        <w:rPr>
          <w:noProof/>
          <w:lang w:val="en-US"/>
        </w:rPr>
        <w:tab/>
      </w:r>
      <w:r>
        <w:rPr>
          <w:noProof/>
        </w:rPr>
        <w:fldChar w:fldCharType="begin"/>
      </w:r>
      <w:r w:rsidRPr="00CB7BD6">
        <w:rPr>
          <w:noProof/>
          <w:lang w:val="en-US"/>
        </w:rPr>
        <w:instrText xml:space="preserve"> PAGEREF _Toc140048915 \h </w:instrText>
      </w:r>
      <w:r>
        <w:rPr>
          <w:noProof/>
        </w:rPr>
      </w:r>
      <w:r>
        <w:rPr>
          <w:noProof/>
        </w:rPr>
        <w:fldChar w:fldCharType="separate"/>
      </w:r>
      <w:r w:rsidRPr="00CB7BD6">
        <w:rPr>
          <w:noProof/>
          <w:lang w:val="en-US"/>
        </w:rPr>
        <w:t>33</w:t>
      </w:r>
      <w:r>
        <w:rPr>
          <w:noProof/>
        </w:rPr>
        <w:fldChar w:fldCharType="end"/>
      </w:r>
    </w:p>
    <w:p w14:paraId="6DEB80EE" w14:textId="6DB12146"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8.2 List of critical items</w:t>
      </w:r>
      <w:r w:rsidRPr="00CB7BD6">
        <w:rPr>
          <w:noProof/>
          <w:lang w:val="en-US"/>
        </w:rPr>
        <w:tab/>
      </w:r>
      <w:r>
        <w:rPr>
          <w:noProof/>
        </w:rPr>
        <w:fldChar w:fldCharType="begin"/>
      </w:r>
      <w:r w:rsidRPr="00CB7BD6">
        <w:rPr>
          <w:noProof/>
          <w:lang w:val="en-US"/>
        </w:rPr>
        <w:instrText xml:space="preserve"> PAGEREF _Toc140048916 \h </w:instrText>
      </w:r>
      <w:r>
        <w:rPr>
          <w:noProof/>
        </w:rPr>
      </w:r>
      <w:r>
        <w:rPr>
          <w:noProof/>
        </w:rPr>
        <w:fldChar w:fldCharType="separate"/>
      </w:r>
      <w:r w:rsidRPr="00CB7BD6">
        <w:rPr>
          <w:noProof/>
          <w:lang w:val="en-US"/>
        </w:rPr>
        <w:t>34</w:t>
      </w:r>
      <w:r>
        <w:rPr>
          <w:noProof/>
        </w:rPr>
        <w:fldChar w:fldCharType="end"/>
      </w:r>
    </w:p>
    <w:p w14:paraId="7EBE135B" w14:textId="51CA8F9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8.3 List of filler items</w:t>
      </w:r>
      <w:r w:rsidRPr="00CB7BD6">
        <w:rPr>
          <w:noProof/>
          <w:lang w:val="en-US"/>
        </w:rPr>
        <w:tab/>
      </w:r>
      <w:r>
        <w:rPr>
          <w:noProof/>
        </w:rPr>
        <w:fldChar w:fldCharType="begin"/>
      </w:r>
      <w:r w:rsidRPr="00CB7BD6">
        <w:rPr>
          <w:noProof/>
          <w:lang w:val="en-US"/>
        </w:rPr>
        <w:instrText xml:space="preserve"> PAGEREF _Toc140048917 \h </w:instrText>
      </w:r>
      <w:r>
        <w:rPr>
          <w:noProof/>
        </w:rPr>
      </w:r>
      <w:r>
        <w:rPr>
          <w:noProof/>
        </w:rPr>
        <w:fldChar w:fldCharType="separate"/>
      </w:r>
      <w:r w:rsidRPr="00CB7BD6">
        <w:rPr>
          <w:noProof/>
          <w:lang w:val="en-US"/>
        </w:rPr>
        <w:t>35</w:t>
      </w:r>
      <w:r>
        <w:rPr>
          <w:noProof/>
        </w:rPr>
        <w:fldChar w:fldCharType="end"/>
      </w:r>
    </w:p>
    <w:p w14:paraId="24873020" w14:textId="5CF995A6"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0048885"/>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0048886"/>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B4426B" w:rsidRDefault="00AC19C8" w:rsidP="00AC19C8">
      <w:pPr>
        <w:pStyle w:val="Listenabsatz"/>
        <w:suppressLineNumbers/>
        <w:spacing w:after="0" w:line="240" w:lineRule="auto"/>
        <w:jc w:val="both"/>
        <w:rPr>
          <w:rFonts w:cs="Arial"/>
          <w:iCs/>
          <w:szCs w:val="24"/>
          <w:lang w:val="en-US"/>
        </w:rPr>
      </w:pPr>
      <w:r w:rsidRPr="00B4426B">
        <w:rPr>
          <w:rFonts w:cs="Arial"/>
          <w:iCs/>
          <w:szCs w:val="24"/>
          <w:lang w:val="en-US"/>
        </w:rPr>
        <w:t xml:space="preserve">B: </w:t>
      </w:r>
      <w:r w:rsidR="00346437" w:rsidRPr="00B4426B">
        <w:rPr>
          <w:rFonts w:cs="Arial"/>
          <w:iCs/>
          <w:szCs w:val="24"/>
          <w:lang w:val="en-US"/>
        </w:rPr>
        <w:tab/>
      </w:r>
      <w:r w:rsidRPr="00B4426B">
        <w:rPr>
          <w:rFonts w:cs="Arial"/>
          <w:iCs/>
          <w:szCs w:val="24"/>
          <w:lang w:val="en-US"/>
        </w:rPr>
        <w:t>Nein, BIS 18 Uhr.</w:t>
      </w:r>
    </w:p>
    <w:p w14:paraId="60940BF4" w14:textId="26DA185D" w:rsidR="00346437" w:rsidRPr="00B4426B" w:rsidRDefault="00346437" w:rsidP="00963453">
      <w:pPr>
        <w:pStyle w:val="Listenabsatz"/>
        <w:suppressLineNumbers/>
        <w:spacing w:after="0" w:line="240" w:lineRule="auto"/>
        <w:jc w:val="both"/>
        <w:rPr>
          <w:rFonts w:cs="Arial"/>
          <w:iCs/>
          <w:szCs w:val="24"/>
          <w:lang w:val="en-US"/>
        </w:rPr>
      </w:pPr>
      <w:r w:rsidRPr="00B4426B">
        <w:rPr>
          <w:rFonts w:cs="Arial"/>
          <w:iCs/>
          <w:szCs w:val="24"/>
          <w:lang w:val="en-US"/>
        </w:rPr>
        <w:tab/>
        <w:t>‘</w:t>
      </w:r>
      <w:r w:rsidR="0023763D" w:rsidRPr="00B4426B">
        <w:rPr>
          <w:rFonts w:cs="Arial"/>
          <w:iCs/>
          <w:szCs w:val="24"/>
          <w:lang w:val="en-US"/>
        </w:rPr>
        <w:t>No, UNTIL 6pm.</w:t>
      </w:r>
      <w:r w:rsidRPr="00B4426B">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B4426B" w:rsidRDefault="00AC19C8" w:rsidP="00AC19C8">
      <w:pPr>
        <w:pStyle w:val="Listenabsatz"/>
        <w:suppressLineNumbers/>
        <w:spacing w:after="0" w:line="240" w:lineRule="auto"/>
        <w:jc w:val="both"/>
        <w:rPr>
          <w:rFonts w:cs="Arial"/>
          <w:iCs/>
          <w:szCs w:val="24"/>
          <w:lang w:val="en-US"/>
        </w:rPr>
      </w:pPr>
      <w:r w:rsidRPr="00B4426B">
        <w:rPr>
          <w:rFonts w:cs="Arial"/>
          <w:iCs/>
          <w:szCs w:val="24"/>
          <w:lang w:val="en-US"/>
        </w:rPr>
        <w:t xml:space="preserve">B: </w:t>
      </w:r>
      <w:r w:rsidR="00346437" w:rsidRPr="00B4426B">
        <w:rPr>
          <w:rFonts w:cs="Arial"/>
          <w:iCs/>
          <w:szCs w:val="24"/>
          <w:lang w:val="en-US"/>
        </w:rPr>
        <w:tab/>
      </w:r>
      <w:r w:rsidRPr="00B4426B">
        <w:rPr>
          <w:rFonts w:cs="Arial"/>
          <w:iCs/>
          <w:szCs w:val="24"/>
          <w:lang w:val="en-US"/>
        </w:rPr>
        <w:t xml:space="preserve">Nein, </w:t>
      </w:r>
      <w:r w:rsidR="00A965FA" w:rsidRPr="00B4426B">
        <w:rPr>
          <w:rFonts w:cs="Arial"/>
          <w:iCs/>
          <w:szCs w:val="24"/>
          <w:lang w:val="en-US"/>
        </w:rPr>
        <w:t>bis</w:t>
      </w:r>
      <w:r w:rsidRPr="00B4426B">
        <w:rPr>
          <w:rFonts w:cs="Arial"/>
          <w:iCs/>
          <w:szCs w:val="24"/>
          <w:lang w:val="en-US"/>
        </w:rPr>
        <w:t xml:space="preserve"> 18 Uhr.</w:t>
      </w:r>
    </w:p>
    <w:p w14:paraId="33C9B4CA" w14:textId="2F53A68C" w:rsidR="00346437" w:rsidRPr="00B4426B" w:rsidRDefault="00346437" w:rsidP="00AC19C8">
      <w:pPr>
        <w:pStyle w:val="Listenabsatz"/>
        <w:suppressLineNumbers/>
        <w:spacing w:after="0" w:line="240" w:lineRule="auto"/>
        <w:jc w:val="both"/>
        <w:rPr>
          <w:rFonts w:cs="Arial"/>
          <w:iCs/>
          <w:szCs w:val="24"/>
          <w:lang w:val="en-US"/>
        </w:rPr>
      </w:pPr>
      <w:r w:rsidRPr="00B4426B">
        <w:rPr>
          <w:rFonts w:cs="Arial"/>
          <w:iCs/>
          <w:szCs w:val="24"/>
          <w:lang w:val="en-US"/>
        </w:rPr>
        <w:tab/>
        <w:t>‘</w:t>
      </w:r>
      <w:r w:rsidR="0023763D" w:rsidRPr="00B4426B">
        <w:rPr>
          <w:rFonts w:cs="Arial"/>
          <w:iCs/>
          <w:szCs w:val="24"/>
          <w:lang w:val="en-US"/>
        </w:rPr>
        <w:t xml:space="preserve">No, </w:t>
      </w:r>
      <w:r w:rsidR="00A965FA" w:rsidRPr="00B4426B">
        <w:rPr>
          <w:rFonts w:cs="Arial"/>
          <w:iCs/>
          <w:szCs w:val="24"/>
          <w:lang w:val="en-US"/>
        </w:rPr>
        <w:t>until</w:t>
      </w:r>
      <w:r w:rsidR="0023763D" w:rsidRPr="00B4426B">
        <w:rPr>
          <w:rFonts w:cs="Arial"/>
          <w:iCs/>
          <w:szCs w:val="24"/>
          <w:lang w:val="en-US"/>
        </w:rPr>
        <w:t xml:space="preserve"> 6pm.</w:t>
      </w:r>
      <w:r w:rsidRPr="00B4426B">
        <w:rPr>
          <w:rFonts w:cs="Arial"/>
          <w:iCs/>
          <w:szCs w:val="24"/>
          <w:lang w:val="en-US"/>
        </w:rPr>
        <w:t>’</w:t>
      </w:r>
      <w:r w:rsidR="00131E5A" w:rsidRPr="00B4426B">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7777777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w:t>
      </w:r>
    </w:p>
    <w:p w14:paraId="241ECD95" w14:textId="4CC1A073" w:rsidR="000D7FD3" w:rsidRDefault="000D7FD3" w:rsidP="000D7FD3">
      <w:pPr>
        <w:suppressLineNumbers/>
        <w:spacing w:after="0" w:line="360" w:lineRule="auto"/>
        <w:ind w:firstLine="567"/>
        <w:jc w:val="both"/>
        <w:rPr>
          <w:rFonts w:cs="Arial"/>
          <w:szCs w:val="24"/>
          <w:lang w:val="en-US"/>
        </w:rPr>
      </w:pPr>
      <w:commentRangeStart w:id="5"/>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0048887"/>
      <w:r>
        <w:t>1.2 Research questions and objectives</w:t>
      </w:r>
      <w:bookmarkEnd w:id="6"/>
    </w:p>
    <w:p w14:paraId="1084F3F0" w14:textId="1AF3A9B0"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lastRenderedPageBreak/>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t>are more common in spoken conversations compared to written dialogues due to the disparity between written and spoken language in terms of prioritizing complete expressions.</w:t>
      </w:r>
      <w:r w:rsidR="0099505E">
        <w:rPr>
          <w:lang w:val="en-US"/>
        </w:rPr>
        <w:t xml:space="preserve"> (cf. </w:t>
      </w:r>
      <w:proofErr w:type="spellStart"/>
      <w:r w:rsidR="0099505E">
        <w:rPr>
          <w:lang w:val="en-US"/>
        </w:rPr>
        <w:t>Akinnaso</w:t>
      </w:r>
      <w:proofErr w:type="spellEnd"/>
      <w:r w:rsidR="0099505E">
        <w:rPr>
          <w:lang w:val="en-US"/>
        </w:rPr>
        <w:t xml:space="preserve">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 xml:space="preserve">without the </w:t>
      </w:r>
      <w:proofErr w:type="spellStart"/>
      <w:r w:rsidR="004123B5">
        <w:rPr>
          <w:rFonts w:cs="Arial"/>
          <w:szCs w:val="24"/>
          <w:lang w:val="en-US"/>
        </w:rPr>
        <w:t>inclusdion</w:t>
      </w:r>
      <w:proofErr w:type="spellEnd"/>
      <w:r w:rsidR="004123B5">
        <w:rPr>
          <w:rFonts w:cs="Arial"/>
          <w:szCs w:val="24"/>
          <w:lang w:val="en-US"/>
        </w:rPr>
        <w:t xml:space="preserve">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B4426B" w:rsidRDefault="00EF6719" w:rsidP="00EF6719">
      <w:pPr>
        <w:pStyle w:val="Listenabsatz"/>
        <w:suppressLineNumbers/>
        <w:spacing w:after="0" w:line="240" w:lineRule="auto"/>
        <w:jc w:val="both"/>
        <w:rPr>
          <w:rFonts w:cs="Arial"/>
          <w:szCs w:val="24"/>
          <w:lang w:val="en-US"/>
        </w:rPr>
      </w:pPr>
      <w:r w:rsidRPr="00B4426B">
        <w:rPr>
          <w:rFonts w:cs="Arial"/>
          <w:szCs w:val="24"/>
          <w:lang w:val="en-US"/>
        </w:rPr>
        <w:t xml:space="preserve">B: </w:t>
      </w:r>
      <w:r w:rsidRPr="00B4426B">
        <w:rPr>
          <w:rFonts w:cs="Arial"/>
          <w:szCs w:val="24"/>
          <w:lang w:val="en-US"/>
        </w:rPr>
        <w:tab/>
        <w:t>Nein, seinem VATER.</w:t>
      </w:r>
    </w:p>
    <w:p w14:paraId="55F2E929" w14:textId="35CE57A1" w:rsidR="00EF6719" w:rsidRPr="00B4426B" w:rsidRDefault="00EF6719" w:rsidP="00963453">
      <w:pPr>
        <w:pStyle w:val="Listenabsatz"/>
        <w:suppressLineNumbers/>
        <w:spacing w:after="0" w:line="240" w:lineRule="auto"/>
        <w:jc w:val="both"/>
        <w:rPr>
          <w:rFonts w:cs="Arial"/>
          <w:szCs w:val="24"/>
          <w:lang w:val="en-US"/>
        </w:rPr>
      </w:pPr>
      <w:r w:rsidRPr="00B4426B">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B4426B" w:rsidRDefault="00EF6719" w:rsidP="00EF6719">
      <w:pPr>
        <w:pStyle w:val="Listenabsatz"/>
        <w:suppressLineNumbers/>
        <w:spacing w:after="0" w:line="240" w:lineRule="auto"/>
        <w:jc w:val="both"/>
        <w:rPr>
          <w:rFonts w:cs="Arial"/>
          <w:szCs w:val="24"/>
          <w:lang w:val="en-US"/>
        </w:rPr>
      </w:pPr>
      <w:r w:rsidRPr="00B4426B">
        <w:rPr>
          <w:rFonts w:cs="Arial"/>
          <w:szCs w:val="24"/>
          <w:lang w:val="en-US"/>
        </w:rPr>
        <w:t xml:space="preserve">B: </w:t>
      </w:r>
      <w:r w:rsidRPr="00B4426B">
        <w:rPr>
          <w:rFonts w:cs="Arial"/>
          <w:szCs w:val="24"/>
          <w:lang w:val="en-US"/>
        </w:rPr>
        <w:tab/>
        <w:t xml:space="preserve">Nein, seinem </w:t>
      </w:r>
      <w:r w:rsidR="00727003" w:rsidRPr="00B4426B">
        <w:rPr>
          <w:rFonts w:cs="Arial"/>
          <w:szCs w:val="24"/>
          <w:lang w:val="en-US"/>
        </w:rPr>
        <w:t>Vater</w:t>
      </w:r>
      <w:r w:rsidRPr="00B4426B">
        <w:rPr>
          <w:rFonts w:cs="Arial"/>
          <w:szCs w:val="24"/>
          <w:lang w:val="en-US"/>
        </w:rPr>
        <w:t>.</w:t>
      </w:r>
    </w:p>
    <w:p w14:paraId="13389E13" w14:textId="76E19D39" w:rsidR="00EF6719" w:rsidRPr="00B4426B" w:rsidRDefault="00EF6719" w:rsidP="00EF6719">
      <w:pPr>
        <w:pStyle w:val="Listenabsatz"/>
        <w:suppressLineNumbers/>
        <w:spacing w:after="0" w:line="240" w:lineRule="auto"/>
        <w:ind w:left="1134"/>
        <w:jc w:val="both"/>
        <w:rPr>
          <w:rFonts w:cs="Arial"/>
          <w:szCs w:val="24"/>
          <w:lang w:val="en-US"/>
        </w:rPr>
      </w:pPr>
      <w:r w:rsidRPr="00B4426B">
        <w:rPr>
          <w:rFonts w:cs="Arial"/>
          <w:szCs w:val="24"/>
          <w:lang w:val="en-US"/>
        </w:rPr>
        <w:t xml:space="preserve">‘No, his </w:t>
      </w:r>
      <w:r w:rsidR="00727003" w:rsidRPr="00B4426B">
        <w:rPr>
          <w:rFonts w:cs="Arial"/>
          <w:szCs w:val="24"/>
          <w:lang w:val="en-US"/>
        </w:rPr>
        <w:t>father</w:t>
      </w:r>
      <w:r w:rsidRPr="00B4426B">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0048888"/>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 xml:space="preserve">The present study examines </w:t>
      </w:r>
      <w:proofErr w:type="gramStart"/>
      <w:r>
        <w:rPr>
          <w:lang w:val="en-US"/>
        </w:rPr>
        <w:t>a number of</w:t>
      </w:r>
      <w:proofErr w:type="gramEnd"/>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05DAE4DA"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proofErr w:type="gramStart"/>
      <w:r w:rsidR="009B4265">
        <w:rPr>
          <w:lang w:val="en-US"/>
        </w:rPr>
        <w:t>have to</w:t>
      </w:r>
      <w:proofErr w:type="gramEnd"/>
      <w:r w:rsidR="009B4265">
        <w:rPr>
          <w:lang w:val="en-US"/>
        </w:rPr>
        <w:t xml:space="preserve">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0048889"/>
      <w:r w:rsidRPr="0099716C">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0519FFB1" w:rsidR="00B44F18" w:rsidRPr="00B44F18" w:rsidRDefault="00B44F18" w:rsidP="00B44F18">
      <w:pPr>
        <w:suppressLineNumbers/>
        <w:spacing w:after="0" w:line="360" w:lineRule="auto"/>
        <w:jc w:val="both"/>
        <w:rPr>
          <w:lang w:val="en-US"/>
        </w:rPr>
      </w:pPr>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p>
    <w:p w14:paraId="7CBF61F7" w14:textId="77777777" w:rsidR="00B44F18" w:rsidRPr="00B44F18" w:rsidRDefault="00B44F18" w:rsidP="00B44F18">
      <w:pPr>
        <w:suppressLineNumbers/>
        <w:spacing w:after="0" w:line="360" w:lineRule="auto"/>
        <w:jc w:val="both"/>
        <w:rPr>
          <w:lang w:val="en-US"/>
        </w:rPr>
      </w:pPr>
    </w:p>
    <w:p w14:paraId="03607D1E" w14:textId="29BCD4AE" w:rsidR="00B44F18" w:rsidRPr="00B44F18" w:rsidRDefault="00B44F18" w:rsidP="00B44F18">
      <w:pPr>
        <w:suppressLineNumbers/>
        <w:spacing w:after="0" w:line="360" w:lineRule="auto"/>
        <w:jc w:val="both"/>
        <w:rPr>
          <w:lang w:val="en-US"/>
        </w:rPr>
      </w:pPr>
      <w:r w:rsidRPr="00B44F18">
        <w:rPr>
          <w:lang w:val="en-US"/>
        </w:rPr>
        <w:t>subchapter about the scope and limitations inherent in the research design, acknowledging the potential constraints and scope of investigation. The subchapter should include the following points: study does not investigate dialectal differences or differences between age groups or gender or similar features of participants, study does not analy</w:t>
      </w:r>
      <w:r>
        <w:rPr>
          <w:lang w:val="en-US"/>
        </w:rPr>
        <w:t xml:space="preserve">ze </w:t>
      </w:r>
      <w:r w:rsidRPr="00B44F18">
        <w:rPr>
          <w:lang w:val="en-US"/>
        </w:rPr>
        <w:t xml:space="preserve">semantic or pragmatic ellipsis, only syntactic </w:t>
      </w:r>
      <w:proofErr w:type="gramStart"/>
      <w:r w:rsidRPr="00B44F18">
        <w:rPr>
          <w:lang w:val="en-US"/>
        </w:rPr>
        <w:t>ellipsis</w:t>
      </w:r>
      <w:proofErr w:type="gramEnd"/>
      <w:r w:rsidRPr="00B44F18">
        <w:rPr>
          <w:lang w:val="en-US"/>
        </w:rPr>
        <w:t xml:space="preserve"> and only clausal ellipsis. </w:t>
      </w:r>
      <w:proofErr w:type="gramStart"/>
      <w:r w:rsidRPr="00B44F18">
        <w:rPr>
          <w:lang w:val="en-US"/>
        </w:rPr>
        <w:t>Furthermore</w:t>
      </w:r>
      <w:proofErr w:type="gramEnd"/>
      <w:r w:rsidRPr="00B44F18">
        <w:rPr>
          <w:lang w:val="en-US"/>
        </w:rPr>
        <w:t xml:space="preserve"> the study is limited by the limitations that are inherent in the method of acceptability judgement tasks</w:t>
      </w:r>
    </w:p>
    <w:p w14:paraId="650B655B" w14:textId="77777777" w:rsidR="00B44F18" w:rsidRPr="00B44F18" w:rsidRDefault="00B44F18" w:rsidP="00B44F18">
      <w:pPr>
        <w:suppressLineNumbers/>
        <w:spacing w:after="0" w:line="360" w:lineRule="auto"/>
        <w:jc w:val="both"/>
        <w:rPr>
          <w:lang w:val="en-US"/>
        </w:rPr>
      </w:pPr>
    </w:p>
    <w:p w14:paraId="16841528" w14:textId="393FF0F3" w:rsidR="006409D3" w:rsidRPr="005C20A7" w:rsidRDefault="006409D3" w:rsidP="00B44F18">
      <w:pPr>
        <w:suppressLineNumbers/>
        <w:spacing w:after="0" w:line="360" w:lineRule="auto"/>
        <w:jc w:val="both"/>
        <w:rPr>
          <w:lang w:val="en-US"/>
        </w:rPr>
      </w:pPr>
      <w:r w:rsidRPr="005C20A7">
        <w:rPr>
          <w:lang w:val="en-US"/>
        </w:rPr>
        <w:t>(</w:t>
      </w:r>
      <w:proofErr w:type="spellStart"/>
      <w:r w:rsidRPr="005C20A7">
        <w:rPr>
          <w:lang w:val="en-US"/>
        </w:rPr>
        <w:t>siehe</w:t>
      </w:r>
      <w:proofErr w:type="spellEnd"/>
      <w:r w:rsidRPr="005C20A7">
        <w:rPr>
          <w:lang w:val="en-US"/>
        </w:rPr>
        <w:t xml:space="preserve"> Merchant 2010)</w:t>
      </w:r>
    </w:p>
    <w:p w14:paraId="33A4579C" w14:textId="0ABD56CC" w:rsidR="00336A97" w:rsidRDefault="00336A97" w:rsidP="00B44F18">
      <w:pPr>
        <w:suppressLineNumbers/>
        <w:spacing w:after="0" w:line="360" w:lineRule="auto"/>
        <w:jc w:val="both"/>
        <w:rPr>
          <w:lang w:val="en-US"/>
        </w:rPr>
      </w:pPr>
    </w:p>
    <w:p w14:paraId="45545947" w14:textId="77777777" w:rsidR="00B44F18" w:rsidRDefault="00B44F18" w:rsidP="00B44F18">
      <w:pPr>
        <w:suppressLineNumbers/>
        <w:spacing w:after="0" w:line="360" w:lineRule="auto"/>
        <w:jc w:val="both"/>
        <w:rPr>
          <w:lang w:val="en-US"/>
        </w:rPr>
      </w:pPr>
    </w:p>
    <w:p w14:paraId="61883DDE" w14:textId="77777777" w:rsidR="00B44F18" w:rsidRDefault="00B44F18" w:rsidP="00B44F18">
      <w:pPr>
        <w:suppressLineNumbers/>
        <w:spacing w:after="0" w:line="360" w:lineRule="auto"/>
        <w:jc w:val="both"/>
        <w:rPr>
          <w:lang w:val="en-US"/>
        </w:rPr>
      </w:pPr>
    </w:p>
    <w:p w14:paraId="73FB0F9F" w14:textId="77777777" w:rsidR="00B44F18" w:rsidRDefault="00B44F18" w:rsidP="00B44F18">
      <w:pPr>
        <w:suppressLineNumbers/>
        <w:spacing w:after="0" w:line="360" w:lineRule="auto"/>
        <w:jc w:val="both"/>
        <w:rPr>
          <w:lang w:val="en-US"/>
        </w:rPr>
      </w:pP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0" w:name="_Toc140048890"/>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42669289" w:rsidR="00F23364" w:rsidRPr="00F23364" w:rsidRDefault="00B37C44" w:rsidP="00B37C44">
      <w:pPr>
        <w:suppressLineNumbers/>
        <w:spacing w:after="0" w:line="360" w:lineRule="auto"/>
        <w:jc w:val="both"/>
        <w:rPr>
          <w:lang w:val="en-US"/>
        </w:rPr>
      </w:pPr>
      <w:commentRangeStart w:id="11"/>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1"/>
      <w:r>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2" w:name="_Toc140048891"/>
      <w:r>
        <w:t xml:space="preserve">2.1 </w:t>
      </w:r>
      <w:r w:rsidR="004B6046">
        <w:t>Two research paradigms of ellipsis</w:t>
      </w:r>
      <w:bookmarkEnd w:id="12"/>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w:t>
      </w:r>
      <w:proofErr w:type="spellStart"/>
      <w:r>
        <w:rPr>
          <w:rFonts w:cs="Arial"/>
          <w:szCs w:val="24"/>
          <w:lang w:val="en-US"/>
        </w:rPr>
        <w:t>Lobeck</w:t>
      </w:r>
      <w:proofErr w:type="spellEnd"/>
      <w:r>
        <w:rPr>
          <w:rFonts w:cs="Arial"/>
          <w:szCs w:val="24"/>
          <w:lang w:val="en-US"/>
        </w:rPr>
        <w:t xml:space="preserve">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w:t>
      </w:r>
      <w:proofErr w:type="spellStart"/>
      <w:r w:rsidRPr="00B84AFE">
        <w:rPr>
          <w:rFonts w:cs="Arial"/>
          <w:color w:val="808080" w:themeColor="background1" w:themeShade="80"/>
          <w:szCs w:val="24"/>
          <w:lang w:val="en-US"/>
        </w:rPr>
        <w:t>iff</w:t>
      </w:r>
      <w:proofErr w:type="spellEnd"/>
      <w:r w:rsidRPr="00B84AFE">
        <w:rPr>
          <w:rFonts w:cs="Arial"/>
          <w:color w:val="808080" w:themeColor="background1" w:themeShade="80"/>
          <w:szCs w:val="24"/>
          <w:lang w:val="en-US"/>
        </w:rPr>
        <w:t xml:space="preserve">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proofErr w:type="spellStart"/>
      <w:r w:rsidRPr="00B84AFE">
        <w:rPr>
          <w:rFonts w:cs="Arial"/>
          <w:i/>
          <w:iCs/>
          <w:color w:val="808080" w:themeColor="background1" w:themeShade="80"/>
          <w:szCs w:val="24"/>
          <w:lang w:val="en-US"/>
        </w:rPr>
        <w:t>nicht</w:t>
      </w:r>
      <w:proofErr w:type="spellEnd"/>
      <w:r w:rsidRPr="00B84AFE">
        <w:rPr>
          <w:rFonts w:cs="Arial"/>
          <w:i/>
          <w:iCs/>
          <w:color w:val="808080" w:themeColor="background1" w:themeShade="80"/>
          <w:szCs w:val="24"/>
          <w:lang w:val="en-US"/>
        </w:rPr>
        <w:t xml:space="preserve">, </w:t>
      </w:r>
      <w:r w:rsidRPr="00B84AFE">
        <w:rPr>
          <w:rFonts w:cs="Arial"/>
          <w:i/>
          <w:iCs/>
          <w:color w:val="808080" w:themeColor="background1" w:themeShade="80"/>
          <w:szCs w:val="24"/>
          <w:lang w:val="en-US"/>
        </w:rPr>
        <w:tab/>
        <w:t>*</w:t>
      </w:r>
      <w:proofErr w:type="spellStart"/>
      <w:r w:rsidRPr="00B84AFE">
        <w:rPr>
          <w:rFonts w:cs="Arial"/>
          <w:i/>
          <w:iCs/>
          <w:color w:val="808080" w:themeColor="background1" w:themeShade="80"/>
          <w:szCs w:val="24"/>
          <w:lang w:val="en-US"/>
        </w:rPr>
        <w:t>wer</w:t>
      </w:r>
      <w:proofErr w:type="spellEnd"/>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proofErr w:type="spellStart"/>
      <w:r w:rsidRPr="00B84AFE">
        <w:rPr>
          <w:rFonts w:cs="Arial"/>
          <w:i/>
          <w:iCs/>
          <w:color w:val="808080" w:themeColor="background1" w:themeShade="80"/>
          <w:szCs w:val="24"/>
          <w:lang w:val="en-US"/>
        </w:rPr>
        <w:t>wem</w:t>
      </w:r>
      <w:proofErr w:type="spellEnd"/>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smallCaps/>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r w:rsidRPr="00B84AFE">
        <w:rPr>
          <w:rFonts w:cs="Arial"/>
          <w:color w:val="808080" w:themeColor="background1" w:themeShade="80"/>
          <w:szCs w:val="24"/>
          <w:lang w:val="en-US"/>
        </w:rPr>
        <w:t>adapted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proofErr w:type="spellStart"/>
      <w:r w:rsidRPr="00B84AFE">
        <w:rPr>
          <w:rFonts w:cs="Arial"/>
          <w:i/>
          <w:color w:val="808080" w:themeColor="background1" w:themeShade="80"/>
          <w:szCs w:val="24"/>
          <w:lang w:val="en-US"/>
        </w:rPr>
        <w:t>schmeicheln</w:t>
      </w:r>
      <w:proofErr w:type="spellEnd"/>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w:t>
      </w:r>
      <w:proofErr w:type="gramStart"/>
      <w:r w:rsidRPr="00B84AFE">
        <w:rPr>
          <w:rFonts w:cs="Arial"/>
          <w:color w:val="808080" w:themeColor="background1" w:themeShade="80"/>
          <w:szCs w:val="24"/>
          <w:lang w:val="en-US"/>
        </w:rPr>
        <w:t>similar to</w:t>
      </w:r>
      <w:proofErr w:type="gramEnd"/>
      <w:r w:rsidRPr="00B84AFE">
        <w:rPr>
          <w:rFonts w:cs="Arial"/>
          <w:color w:val="808080" w:themeColor="background1" w:themeShade="80"/>
          <w:szCs w:val="24"/>
          <w:lang w:val="en-US"/>
        </w:rPr>
        <w:t xml:space="preserve">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proofErr w:type="spellStart"/>
      <w:r w:rsidR="00B84AFE" w:rsidRPr="00B84AFE">
        <w:rPr>
          <w:rFonts w:cs="Arial"/>
          <w:i/>
          <w:color w:val="808080" w:themeColor="background1" w:themeShade="80"/>
          <w:szCs w:val="24"/>
          <w:lang w:val="en-US"/>
        </w:rPr>
        <w:t>wem</w:t>
      </w:r>
      <w:proofErr w:type="spellEnd"/>
      <w:r w:rsidR="00B84AFE" w:rsidRPr="00B84AFE">
        <w:rPr>
          <w:rFonts w:cs="Arial"/>
          <w:i/>
          <w:color w:val="808080" w:themeColor="background1" w:themeShade="80"/>
          <w:szCs w:val="24"/>
          <w:lang w:val="en-US"/>
        </w:rPr>
        <w:t xml:space="preserve">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5" w:name="_Toc140048892"/>
      <w:r>
        <w:t xml:space="preserve">2.2 </w:t>
      </w:r>
      <w:r w:rsidR="00E75ED2" w:rsidRPr="00F818EF">
        <w:t>Fragment</w:t>
      </w:r>
      <w:r w:rsidR="00D35B6C" w:rsidRPr="00F818EF">
        <w:t xml:space="preserve"> theory and its linguistic foundations</w:t>
      </w:r>
      <w:bookmarkEnd w:id="15"/>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6"/>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6"/>
      <w:r w:rsidR="005527E5">
        <w:rPr>
          <w:rStyle w:val="Kommentarzeichen"/>
        </w:rPr>
        <w:commentReference w:id="16"/>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7"/>
      <w:r>
        <w:rPr>
          <w:rFonts w:cs="Arial"/>
          <w:szCs w:val="24"/>
          <w:lang w:val="en-US"/>
        </w:rPr>
        <w:t xml:space="preserve">That is, while clausal ellipsis suppresses the phonological realization of most parts of the sentence, one or more subconstituents of the clause survive ellipsis. </w:t>
      </w:r>
      <w:commentRangeStart w:id="18"/>
      <w:r>
        <w:rPr>
          <w:rFonts w:cs="Arial"/>
          <w:szCs w:val="24"/>
          <w:lang w:val="en-US"/>
        </w:rPr>
        <w:t>These remnants of ellipsis are called fragments</w:t>
      </w:r>
      <w:commentRangeEnd w:id="18"/>
      <w:r>
        <w:rPr>
          <w:rStyle w:val="Kommentarzeichen"/>
        </w:rPr>
        <w:commentReference w:id="18"/>
      </w:r>
      <w:r>
        <w:rPr>
          <w:rFonts w:cs="Arial"/>
          <w:szCs w:val="24"/>
          <w:lang w:val="en-US"/>
        </w:rPr>
        <w:t xml:space="preserve">. </w:t>
      </w:r>
      <w:commentRangeEnd w:id="17"/>
      <w:r>
        <w:rPr>
          <w:rStyle w:val="Kommentarzeichen"/>
        </w:rPr>
        <w:commentReference w:id="17"/>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19" w:name="_Toc140048893"/>
      <w:r>
        <w:lastRenderedPageBreak/>
        <w:t>2.</w:t>
      </w:r>
      <w:r w:rsidR="00E23A5B">
        <w:t>3</w:t>
      </w:r>
      <w:r>
        <w:t xml:space="preserve"> Contrastive </w:t>
      </w:r>
      <w:r w:rsidR="00A2533A">
        <w:t>f</w:t>
      </w:r>
      <w:r>
        <w:t>ocus</w:t>
      </w:r>
      <w:bookmarkEnd w:id="19"/>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 xml:space="preserve">(Griffiths &amp; </w:t>
      </w:r>
      <w:proofErr w:type="spellStart"/>
      <w:r>
        <w:rPr>
          <w:rFonts w:cs="Arial"/>
          <w:szCs w:val="24"/>
          <w:lang w:val="en-US"/>
        </w:rPr>
        <w:t>Lipták</w:t>
      </w:r>
      <w:proofErr w:type="spellEnd"/>
      <w:r>
        <w:rPr>
          <w:rFonts w:cs="Arial"/>
          <w:szCs w:val="24"/>
          <w:lang w:val="en-US"/>
        </w:rPr>
        <w:t xml:space="preserve">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w:t>
      </w:r>
      <w:proofErr w:type="spellStart"/>
      <w:r w:rsidR="009D05DF">
        <w:rPr>
          <w:rFonts w:cs="Arial"/>
          <w:szCs w:val="24"/>
          <w:lang w:val="en-US"/>
        </w:rPr>
        <w:t>Lipták</w:t>
      </w:r>
      <w:proofErr w:type="spellEnd"/>
      <w:r w:rsidR="009D05DF">
        <w:rPr>
          <w:rFonts w:cs="Arial"/>
          <w:szCs w:val="24"/>
          <w:lang w:val="en-US"/>
        </w:rPr>
        <w:t xml:space="preserve">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r w:rsidR="003358A2">
        <w:rPr>
          <w:rFonts w:cs="Arial"/>
          <w:szCs w:val="24"/>
          <w:lang w:val="en-US"/>
        </w:rPr>
        <w:t>Griffiths</w:t>
      </w:r>
      <w:r w:rsidR="009D05DF">
        <w:rPr>
          <w:rFonts w:cs="Arial"/>
          <w:szCs w:val="24"/>
          <w:lang w:val="en-US"/>
        </w:rPr>
        <w:t xml:space="preserve"> &amp; </w:t>
      </w:r>
      <w:proofErr w:type="spellStart"/>
      <w:r w:rsidR="009D05DF">
        <w:rPr>
          <w:rFonts w:cs="Arial"/>
          <w:szCs w:val="24"/>
          <w:lang w:val="en-US"/>
        </w:rPr>
        <w:t>Lipták</w:t>
      </w:r>
      <w:proofErr w:type="spellEnd"/>
      <w:r w:rsidR="009D05DF">
        <w:rPr>
          <w:rFonts w:cs="Arial"/>
          <w:szCs w:val="24"/>
          <w:lang w:val="en-US"/>
        </w:rPr>
        <w:t xml:space="preserve">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0" w:name="_Toc140048894"/>
      <w:r>
        <w:t>2.</w:t>
      </w:r>
      <w:r w:rsidR="00E23A5B">
        <w:t>4</w:t>
      </w:r>
      <w:r>
        <w:t xml:space="preserve"> The comprehension</w:t>
      </w:r>
      <w:r w:rsidR="00BE0E8D">
        <w:t xml:space="preserve"> of fragmentary answers</w:t>
      </w:r>
      <w:bookmarkEnd w:id="20"/>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w:t>
      </w:r>
      <w:proofErr w:type="spellStart"/>
      <w:r w:rsidRPr="008D58CF">
        <w:rPr>
          <w:rFonts w:cs="Arial"/>
          <w:szCs w:val="24"/>
          <w:lang w:val="en-US"/>
        </w:rPr>
        <w:t>iff</w:t>
      </w:r>
      <w:proofErr w:type="spellEnd"/>
      <w:r w:rsidRPr="008D58CF">
        <w:rPr>
          <w:rFonts w:cs="Arial"/>
          <w:szCs w:val="24"/>
          <w:lang w:val="en-US"/>
        </w:rPr>
        <w:t xml:space="preserve">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1"/>
      <w:r w:rsidR="008D58CF">
        <w:rPr>
          <w:rFonts w:cs="Arial"/>
          <w:szCs w:val="24"/>
          <w:lang w:val="en-US"/>
        </w:rPr>
        <w:t>[maybe discuss the MaxQUD a bit here before moving on to prosody]</w:t>
      </w:r>
      <w:commentRangeEnd w:id="21"/>
      <w:r w:rsidR="008D58CF">
        <w:rPr>
          <w:rStyle w:val="Kommentarzeichen"/>
        </w:rPr>
        <w:commentReference w:id="21"/>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r>
      <w:proofErr w:type="spellStart"/>
      <w:r>
        <w:rPr>
          <w:lang w:val="en-US"/>
        </w:rPr>
        <w:t>Rasekhi</w:t>
      </w:r>
      <w:proofErr w:type="spellEnd"/>
      <w:r>
        <w:rPr>
          <w:lang w:val="en-US"/>
        </w:rPr>
        <w:t xml:space="preserve"> &amp; </w:t>
      </w:r>
      <w:proofErr w:type="spellStart"/>
      <w:r>
        <w:rPr>
          <w:lang w:val="en-US"/>
        </w:rPr>
        <w:t>Vahideh</w:t>
      </w:r>
      <w:proofErr w:type="spellEnd"/>
      <w:r>
        <w:rPr>
          <w:lang w:val="en-US"/>
        </w:rPr>
        <w:t xml:space="preserve">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 xml:space="preserve">Include </w:t>
      </w:r>
      <w:proofErr w:type="spellStart"/>
      <w:r>
        <w:rPr>
          <w:lang w:val="en-US"/>
        </w:rPr>
        <w:t>Rasekhi</w:t>
      </w:r>
      <w:proofErr w:type="spellEnd"/>
      <w:r>
        <w:rPr>
          <w:lang w:val="en-US"/>
        </w:rPr>
        <w:t xml:space="preserve">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w:t>
      </w:r>
      <w:proofErr w:type="spellStart"/>
      <w:r w:rsidR="00451181">
        <w:rPr>
          <w:lang w:val="en-US"/>
        </w:rPr>
        <w:t>Bordag</w:t>
      </w:r>
      <w:proofErr w:type="spellEnd"/>
      <w:r w:rsidR="00451181">
        <w:rPr>
          <w:lang w:val="en-US"/>
        </w:rPr>
        <w:t xml:space="preserve">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2"/>
      <w:r w:rsidR="009B6F8C">
        <w:rPr>
          <w:rFonts w:cs="Arial"/>
          <w:szCs w:val="24"/>
          <w:lang w:val="en-US"/>
        </w:rPr>
        <w:t xml:space="preserve">with a L+H* pitch </w:t>
      </w:r>
      <w:commentRangeEnd w:id="22"/>
      <w:r w:rsidR="005C20A7">
        <w:rPr>
          <w:rStyle w:val="Kommentarzeichen"/>
        </w:rPr>
        <w:commentReference w:id="22"/>
      </w:r>
      <w:r w:rsidR="009B6F8C">
        <w:rPr>
          <w:rFonts w:cs="Arial"/>
          <w:szCs w:val="24"/>
          <w:lang w:val="en-US"/>
        </w:rPr>
        <w:t xml:space="preserve">for English and German (cf. Wagner 1999). </w:t>
      </w:r>
      <w:commentRangeStart w:id="23"/>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3"/>
      <w:r w:rsidR="00DC7ED0">
        <w:rPr>
          <w:rStyle w:val="Kommentarzeichen"/>
        </w:rPr>
        <w:commentReference w:id="23"/>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w:t>
      </w:r>
      <w:r>
        <w:rPr>
          <w:rFonts w:cs="Arial"/>
          <w:szCs w:val="24"/>
          <w:lang w:val="en-US"/>
        </w:rPr>
        <w:lastRenderedPageBreak/>
        <w:t xml:space="preserve">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7984EA85" w14:textId="627576EA" w:rsidR="00720068" w:rsidRPr="00005C1F" w:rsidRDefault="00720068" w:rsidP="00DC7ED0">
      <w:pPr>
        <w:pStyle w:val="Listenabsatz"/>
        <w:numPr>
          <w:ilvl w:val="0"/>
          <w:numId w:val="48"/>
        </w:numPr>
        <w:suppressLineNumbers/>
        <w:spacing w:after="0" w:line="360" w:lineRule="auto"/>
        <w:jc w:val="both"/>
        <w:rPr>
          <w:rFonts w:cs="Arial"/>
          <w:szCs w:val="24"/>
          <w:lang w:val="en-US"/>
        </w:rPr>
      </w:pPr>
      <w:r>
        <w:rPr>
          <w:lang w:val="en-US"/>
        </w:rPr>
        <w:t>Formulate and explain second hypothesis that generally, auditory stimuli will receive higher acceptability ratings than written stimuli</w:t>
      </w:r>
    </w:p>
    <w:p w14:paraId="1C412938" w14:textId="77777777" w:rsidR="00005C1F" w:rsidRDefault="00005C1F" w:rsidP="00005C1F">
      <w:pPr>
        <w:suppressLineNumbers/>
        <w:spacing w:after="0" w:line="360" w:lineRule="auto"/>
        <w:jc w:val="both"/>
        <w:rPr>
          <w:rFonts w:cs="Arial"/>
          <w:szCs w:val="24"/>
          <w:lang w:val="en-US"/>
        </w:rPr>
      </w:pPr>
    </w:p>
    <w:p w14:paraId="09ED4DB8" w14:textId="42222652"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4" w:name="_Toc140048895"/>
      <w:r>
        <w:t>2.</w:t>
      </w:r>
      <w:r w:rsidR="00E23A5B">
        <w:t>5</w:t>
      </w:r>
      <w:r>
        <w:t xml:space="preserve"> Acceptability judgment tasks (AJTs) in linguistics</w:t>
      </w:r>
      <w:bookmarkEnd w:id="24"/>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5"/>
      <w:commentRangeStart w:id="26"/>
      <w:commentRangeStart w:id="27"/>
      <w:r>
        <w:rPr>
          <w:lang w:val="en-US"/>
        </w:rPr>
        <w:t xml:space="preserve">Chomsky (1957) </w:t>
      </w:r>
      <w:commentRangeEnd w:id="25"/>
      <w:r>
        <w:rPr>
          <w:rStyle w:val="Kommentarzeichen"/>
        </w:rPr>
        <w:commentReference w:id="25"/>
      </w:r>
      <w:commentRangeEnd w:id="26"/>
      <w:r>
        <w:rPr>
          <w:rStyle w:val="Kommentarzeichen"/>
        </w:rPr>
        <w:commentReference w:id="26"/>
      </w:r>
      <w:commentRangeEnd w:id="27"/>
      <w:r>
        <w:rPr>
          <w:rStyle w:val="Kommentarzeichen"/>
        </w:rPr>
        <w:commentReference w:id="27"/>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w:t>
      </w:r>
      <w:r>
        <w:rPr>
          <w:lang w:val="en-US"/>
        </w:rPr>
        <w:lastRenderedPageBreak/>
        <w:t xml:space="preserve">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w:t>
      </w:r>
      <w:proofErr w:type="spellStart"/>
      <w:r>
        <w:rPr>
          <w:lang w:val="en-US"/>
        </w:rPr>
        <w:t>Juzek</w:t>
      </w:r>
      <w:proofErr w:type="spellEnd"/>
      <w:r>
        <w:rPr>
          <w:lang w:val="en-US"/>
        </w:rPr>
        <w:t xml:space="preserve">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w:t>
      </w:r>
      <w:r w:rsidR="000C531E" w:rsidRPr="005D7C6B">
        <w:rPr>
          <w:lang w:val="en-US"/>
        </w:rPr>
        <w:lastRenderedPageBreak/>
        <w:t xml:space="preserve">necessitate prosodic cues for a comprehensive understanding of the syntactic structure. Therefore, auditory stimuli are deemed suitable in such cases </w:t>
      </w:r>
      <w:r w:rsidR="000C531E">
        <w:rPr>
          <w:lang w:val="en-US"/>
        </w:rPr>
        <w:t xml:space="preserve">(cf. </w:t>
      </w:r>
      <w:proofErr w:type="spellStart"/>
      <w:r w:rsidR="000C531E">
        <w:rPr>
          <w:lang w:val="en-US"/>
        </w:rPr>
        <w:t>Sedarous</w:t>
      </w:r>
      <w:proofErr w:type="spellEnd"/>
      <w:r w:rsidR="000C531E">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proofErr w:type="spellStart"/>
      <w:r>
        <w:rPr>
          <w:lang w:val="en-US"/>
        </w:rPr>
        <w:t>Juzek</w:t>
      </w:r>
      <w:proofErr w:type="spellEnd"/>
      <w:r>
        <w:rPr>
          <w:lang w:val="en-US"/>
        </w:rPr>
        <w:t xml:space="preserve">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8" w:name="_Toc14004889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0048897"/>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0048898"/>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r w:rsidR="00000000">
        <w:fldChar w:fldCharType="begin"/>
      </w:r>
      <w:r w:rsidR="00000000" w:rsidRPr="00B4426B">
        <w:rPr>
          <w:lang w:val="en-US"/>
        </w:rPr>
        <w:instrText>HYPERLINK "https://shorturl.at/blwGM"</w:instrText>
      </w:r>
      <w:r w:rsidR="00000000">
        <w:fldChar w:fldCharType="separate"/>
      </w:r>
      <w:r w:rsidR="004A61F6" w:rsidRPr="004A61F6">
        <w:rPr>
          <w:rStyle w:val="Hyperlink"/>
          <w:color w:val="auto"/>
          <w:u w:val="none"/>
          <w:lang w:val="en-US"/>
        </w:rPr>
        <w:t>https://shorturl.at/blwGM</w:t>
      </w:r>
      <w:r w:rsidR="00000000">
        <w:rPr>
          <w:rStyle w:val="Hyperlink"/>
          <w:color w:val="auto"/>
          <w:u w:val="none"/>
          <w:lang w:val="en-US"/>
        </w:rPr>
        <w:fldChar w:fldCharType="end"/>
      </w:r>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B4426B"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B4426B">
        <w:rPr>
          <w:rFonts w:cs="Arial"/>
          <w:iCs/>
          <w:szCs w:val="24"/>
          <w:lang w:val="en-US"/>
        </w:rPr>
        <w:t xml:space="preserve">B: </w:t>
      </w:r>
      <w:r w:rsidR="00BE12F2" w:rsidRPr="00B4426B">
        <w:rPr>
          <w:rFonts w:cs="Arial"/>
          <w:iCs/>
          <w:szCs w:val="24"/>
          <w:lang w:val="en-US"/>
        </w:rPr>
        <w:tab/>
        <w:t>Nein, BIS 18 Uhr.</w:t>
      </w:r>
    </w:p>
    <w:p w14:paraId="7D0F9FE3" w14:textId="333C5692" w:rsidR="00BE12F2" w:rsidRPr="00B4426B" w:rsidRDefault="00BE12F2" w:rsidP="00BE12F2">
      <w:pPr>
        <w:pStyle w:val="Listenabsatz"/>
        <w:suppressLineNumbers/>
        <w:spacing w:after="0" w:line="240" w:lineRule="auto"/>
        <w:jc w:val="both"/>
        <w:rPr>
          <w:rFonts w:cs="Arial"/>
          <w:iCs/>
          <w:szCs w:val="24"/>
          <w:lang w:val="en-US"/>
        </w:rPr>
      </w:pPr>
      <w:r w:rsidRPr="00B4426B">
        <w:rPr>
          <w:rFonts w:cs="Arial"/>
          <w:iCs/>
          <w:szCs w:val="24"/>
          <w:lang w:val="en-US"/>
        </w:rPr>
        <w:tab/>
      </w:r>
      <w:r w:rsidR="005F4914" w:rsidRPr="00B4426B">
        <w:rPr>
          <w:rFonts w:cs="Arial"/>
          <w:iCs/>
          <w:szCs w:val="24"/>
          <w:lang w:val="en-US"/>
        </w:rPr>
        <w:t xml:space="preserve"> </w:t>
      </w:r>
      <w:r w:rsidR="005F4914" w:rsidRPr="00B4426B">
        <w:rPr>
          <w:rFonts w:cs="Arial"/>
          <w:iCs/>
          <w:szCs w:val="24"/>
          <w:lang w:val="en-US"/>
        </w:rPr>
        <w:tab/>
      </w:r>
      <w:r w:rsidRPr="00B4426B">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B4426B" w:rsidRDefault="00BE12F2" w:rsidP="005F4914">
      <w:pPr>
        <w:pStyle w:val="Listenabsatz"/>
        <w:suppressLineNumbers/>
        <w:spacing w:after="0" w:line="240" w:lineRule="auto"/>
        <w:ind w:firstLine="414"/>
        <w:jc w:val="both"/>
        <w:rPr>
          <w:rFonts w:cs="Arial"/>
          <w:iCs/>
          <w:szCs w:val="24"/>
          <w:lang w:val="en-US"/>
        </w:rPr>
      </w:pPr>
      <w:r w:rsidRPr="00B4426B">
        <w:rPr>
          <w:rFonts w:cs="Arial"/>
          <w:iCs/>
          <w:szCs w:val="24"/>
          <w:lang w:val="en-US"/>
        </w:rPr>
        <w:t xml:space="preserve">B: </w:t>
      </w:r>
      <w:r w:rsidRPr="00B4426B">
        <w:rPr>
          <w:rFonts w:cs="Arial"/>
          <w:iCs/>
          <w:szCs w:val="24"/>
          <w:lang w:val="en-US"/>
        </w:rPr>
        <w:tab/>
        <w:t xml:space="preserve">Nein, </w:t>
      </w:r>
      <w:r w:rsidR="00084902" w:rsidRPr="00B4426B">
        <w:rPr>
          <w:rFonts w:cs="Arial"/>
          <w:iCs/>
          <w:szCs w:val="24"/>
          <w:lang w:val="en-US"/>
        </w:rPr>
        <w:t>bis</w:t>
      </w:r>
      <w:r w:rsidRPr="00B4426B">
        <w:rPr>
          <w:rFonts w:cs="Arial"/>
          <w:iCs/>
          <w:szCs w:val="24"/>
          <w:lang w:val="en-US"/>
        </w:rPr>
        <w:t xml:space="preserve"> 18 Uhr.</w:t>
      </w:r>
    </w:p>
    <w:p w14:paraId="2C0D4EC3" w14:textId="434FDEEE" w:rsidR="00BE12F2" w:rsidRPr="00B4426B" w:rsidRDefault="00BE12F2" w:rsidP="00BE12F2">
      <w:pPr>
        <w:pStyle w:val="Listenabsatz"/>
        <w:suppressLineNumbers/>
        <w:spacing w:after="0" w:line="240" w:lineRule="auto"/>
        <w:jc w:val="both"/>
        <w:rPr>
          <w:rFonts w:cs="Arial"/>
          <w:iCs/>
          <w:szCs w:val="24"/>
          <w:lang w:val="en-US"/>
        </w:rPr>
      </w:pPr>
      <w:r w:rsidRPr="00B4426B">
        <w:rPr>
          <w:rFonts w:cs="Arial"/>
          <w:iCs/>
          <w:szCs w:val="24"/>
          <w:lang w:val="en-US"/>
        </w:rPr>
        <w:tab/>
      </w:r>
      <w:r w:rsidR="005F4914" w:rsidRPr="00B4426B">
        <w:rPr>
          <w:rFonts w:cs="Arial"/>
          <w:iCs/>
          <w:szCs w:val="24"/>
          <w:lang w:val="en-US"/>
        </w:rPr>
        <w:t xml:space="preserve"> </w:t>
      </w:r>
      <w:r w:rsidR="005F4914" w:rsidRPr="00B4426B">
        <w:rPr>
          <w:rFonts w:cs="Arial"/>
          <w:iCs/>
          <w:szCs w:val="24"/>
          <w:lang w:val="en-US"/>
        </w:rPr>
        <w:tab/>
      </w:r>
      <w:r w:rsidRPr="00B4426B">
        <w:rPr>
          <w:rFonts w:cs="Arial"/>
          <w:iCs/>
          <w:szCs w:val="24"/>
          <w:lang w:val="en-US"/>
        </w:rPr>
        <w:t xml:space="preserve">‘No, </w:t>
      </w:r>
      <w:r w:rsidR="00084902" w:rsidRPr="00B4426B">
        <w:rPr>
          <w:rFonts w:cs="Arial"/>
          <w:iCs/>
          <w:szCs w:val="24"/>
          <w:lang w:val="en-US"/>
        </w:rPr>
        <w:t>until</w:t>
      </w:r>
      <w:r w:rsidRPr="00B4426B">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5"/>
      <w:r w:rsidRPr="00542224">
        <w:rPr>
          <w:lang w:val="en-US"/>
        </w:rPr>
        <w:t>(own stimuli)</w:t>
      </w:r>
      <w:commentRangeEnd w:id="35"/>
      <w:r w:rsidR="00B8072C">
        <w:rPr>
          <w:rStyle w:val="Kommentarzeichen"/>
        </w:rPr>
        <w:commentReference w:id="35"/>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6"/>
      <w:commentRangeEnd w:id="36"/>
      <w:r>
        <w:rPr>
          <w:rStyle w:val="Kommentarzeichen"/>
        </w:rPr>
        <w:commentReference w:id="36"/>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7"/>
      <w:commentRangeEnd w:id="37"/>
      <w:r>
        <w:rPr>
          <w:rStyle w:val="Kommentarzeichen"/>
        </w:rPr>
        <w:commentReference w:id="37"/>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8" w:name="_Toc140048899"/>
      <w:r>
        <w:lastRenderedPageBreak/>
        <w:t>3.3 Recording of stimuli</w:t>
      </w:r>
      <w:bookmarkEnd w:id="38"/>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39" w:name="_Toc139031147"/>
      <w:bookmarkStart w:id="40" w:name="_Toc139181603"/>
      <w:bookmarkStart w:id="41"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39"/>
      <w:bookmarkEnd w:id="40"/>
      <w:bookmarkEnd w:id="41"/>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2" w:name="_Toc139031148"/>
      <w:bookmarkStart w:id="43" w:name="_Toc139181604"/>
      <w:bookmarkStart w:id="44"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2"/>
      <w:bookmarkEnd w:id="43"/>
      <w:bookmarkEnd w:id="44"/>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r w:rsidR="00000000">
        <w:fldChar w:fldCharType="begin"/>
      </w:r>
      <w:r w:rsidR="00000000" w:rsidRPr="00B4426B">
        <w:rPr>
          <w:lang w:val="en-US"/>
        </w:rPr>
        <w:instrText>HYPERLINK "https://www.praatvocaltoolkit.com/normalize.html"</w:instrText>
      </w:r>
      <w:r w:rsidR="00000000">
        <w:fldChar w:fldCharType="separate"/>
      </w:r>
      <w:r w:rsidRPr="0003343B">
        <w:rPr>
          <w:rStyle w:val="Hyperlink"/>
          <w:rFonts w:cs="Arial"/>
          <w:color w:val="auto"/>
          <w:szCs w:val="24"/>
          <w:u w:val="none"/>
          <w:lang w:val="en-US"/>
        </w:rPr>
        <w:t>https://www.praatvocaltoolkit.com/normalize.html</w:t>
      </w:r>
      <w:r w:rsidR="00000000">
        <w:rPr>
          <w:rStyle w:val="Hyperlink"/>
          <w:rFonts w:cs="Arial"/>
          <w:color w:val="auto"/>
          <w:szCs w:val="24"/>
          <w:u w:val="none"/>
          <w:lang w:val="en-US"/>
        </w:rPr>
        <w:fldChar w:fldCharType="end"/>
      </w:r>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r w:rsidR="00000000">
        <w:fldChar w:fldCharType="begin"/>
      </w:r>
      <w:r w:rsidR="00000000" w:rsidRPr="00B4426B">
        <w:rPr>
          <w:lang w:val="en-US"/>
        </w:rPr>
        <w:instrText>HYPERLINK "https://shorturl.at/pCHM6"</w:instrText>
      </w:r>
      <w:r w:rsidR="00000000">
        <w:fldChar w:fldCharType="separate"/>
      </w:r>
      <w:r w:rsidRPr="003B2155">
        <w:rPr>
          <w:rStyle w:val="Hyperlink"/>
          <w:color w:val="auto"/>
          <w:u w:val="none"/>
          <w:lang w:val="en-US"/>
        </w:rPr>
        <w:t>https://shorturl.at/pCHM6</w:t>
      </w:r>
      <w:r w:rsidR="00000000">
        <w:rPr>
          <w:rStyle w:val="Hyperlink"/>
          <w:color w:val="auto"/>
          <w:u w:val="none"/>
          <w:lang w:val="en-US"/>
        </w:rPr>
        <w:fldChar w:fldCharType="end"/>
      </w:r>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5" w:name="_Toc140048900"/>
      <w:r>
        <w:lastRenderedPageBreak/>
        <w:t>3.</w:t>
      </w:r>
      <w:r w:rsidR="00D95680">
        <w:t>4</w:t>
      </w:r>
      <w:r>
        <w:t xml:space="preserve"> Data collection</w:t>
      </w:r>
      <w:bookmarkEnd w:id="45"/>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6" w:name="_Toc140048901"/>
      <w:r>
        <w:t>3.</w:t>
      </w:r>
      <w:r w:rsidR="00D95680">
        <w:t>5</w:t>
      </w:r>
      <w:r>
        <w:t xml:space="preserve"> </w:t>
      </w:r>
      <w:r w:rsidR="00735988">
        <w:t>Participant</w:t>
      </w:r>
      <w:r>
        <w:t xml:space="preserve"> recruitment and characteristics</w:t>
      </w:r>
      <w:bookmarkEnd w:id="46"/>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7" w:name="_Toc140048902"/>
      <w:r>
        <w:t>3.</w:t>
      </w:r>
      <w:r w:rsidR="00D95680">
        <w:t>6</w:t>
      </w:r>
      <w:r>
        <w:t xml:space="preserve"> Data analysis</w:t>
      </w:r>
      <w:bookmarkEnd w:id="47"/>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Default="00D95680" w:rsidP="00D95680">
      <w:pPr>
        <w:spacing w:after="0" w:line="360" w:lineRule="auto"/>
        <w:jc w:val="both"/>
        <w:rPr>
          <w:lang w:val="en-US"/>
        </w:rPr>
      </w:pPr>
      <w:r>
        <w:rPr>
          <w:rFonts w:cs="Arial"/>
          <w:szCs w:val="24"/>
          <w:lang w:val="en-US"/>
        </w:rPr>
        <w:t xml:space="preserve">Participants’ Likert scale responses were z-scored and analyzed using Linear Mixed Models, using </w:t>
      </w:r>
      <w:commentRangeStart w:id="48"/>
      <w:r>
        <w:rPr>
          <w:rFonts w:cs="Arial"/>
          <w:szCs w:val="24"/>
          <w:lang w:val="en-US"/>
        </w:rPr>
        <w:t>R</w:t>
      </w:r>
      <w:r w:rsidR="00665A8D">
        <w:rPr>
          <w:rFonts w:cs="Arial"/>
          <w:szCs w:val="24"/>
          <w:lang w:val="en-US"/>
        </w:rPr>
        <w:t xml:space="preserve"> 3.2.3 </w:t>
      </w:r>
      <w:commentRangeEnd w:id="48"/>
      <w:r w:rsidR="00665A8D">
        <w:rPr>
          <w:rStyle w:val="Kommentarzeichen"/>
        </w:rPr>
        <w:commentReference w:id="48"/>
      </w:r>
      <w:r w:rsidR="00665A8D">
        <w:rPr>
          <w:rFonts w:cs="Arial"/>
          <w:szCs w:val="24"/>
          <w:lang w:val="en-US"/>
        </w:rPr>
        <w:t xml:space="preserve">(cf. </w:t>
      </w:r>
      <w:commentRangeStart w:id="49"/>
      <w:r w:rsidR="00665A8D" w:rsidRPr="00665A8D">
        <w:rPr>
          <w:lang w:val="en-US"/>
        </w:rPr>
        <w:t>R Development Core Team</w:t>
      </w:r>
      <w:r w:rsidR="00665A8D">
        <w:rPr>
          <w:lang w:val="en-US"/>
        </w:rPr>
        <w:t xml:space="preserve"> 2015</w:t>
      </w:r>
      <w:commentRangeEnd w:id="49"/>
      <w:r w:rsidR="00665A8D">
        <w:rPr>
          <w:rStyle w:val="Kommentarzeichen"/>
        </w:rPr>
        <w:commentReference w:id="49"/>
      </w:r>
      <w:r w:rsidR="00665A8D">
        <w:rPr>
          <w:lang w:val="en-US"/>
        </w:rPr>
        <w:t>).</w:t>
      </w:r>
    </w:p>
    <w:p w14:paraId="41F3353B" w14:textId="43A69D46" w:rsidR="00DB167D" w:rsidRPr="00665A8D" w:rsidRDefault="00DB167D" w:rsidP="00D95680">
      <w:pPr>
        <w:spacing w:after="0" w:line="360" w:lineRule="auto"/>
        <w:jc w:val="both"/>
        <w:rPr>
          <w:rFonts w:cs="Arial"/>
          <w:szCs w:val="24"/>
          <w:lang w:val="en-US"/>
        </w:rPr>
      </w:pPr>
      <w:r>
        <w:rPr>
          <w:lang w:val="en-US"/>
        </w:rPr>
        <w:lastRenderedPageBreak/>
        <w:t>Include paragraph that ordinal data was treated as interval data</w:t>
      </w:r>
    </w:p>
    <w:p w14:paraId="07486FEA" w14:textId="77777777" w:rsidR="0088143E" w:rsidRDefault="0088143E" w:rsidP="00D95680">
      <w:pPr>
        <w:spacing w:after="0" w:line="360" w:lineRule="auto"/>
        <w:jc w:val="both"/>
        <w:rPr>
          <w:rFonts w:cs="Arial"/>
          <w:szCs w:val="24"/>
          <w:lang w:val="en-US"/>
        </w:rPr>
      </w:pPr>
    </w:p>
    <w:p w14:paraId="10362C59" w14:textId="53836335" w:rsidR="00FE1DCC" w:rsidRDefault="00FE1DCC" w:rsidP="00D95680">
      <w:pPr>
        <w:spacing w:after="0" w:line="360" w:lineRule="auto"/>
        <w:jc w:val="both"/>
        <w:rPr>
          <w:rFonts w:cs="Arial"/>
          <w:szCs w:val="24"/>
          <w:lang w:val="en-US"/>
        </w:rPr>
      </w:pPr>
      <w:r>
        <w:rPr>
          <w:rFonts w:cs="Arial"/>
          <w:szCs w:val="24"/>
          <w:lang w:val="en-US"/>
        </w:rPr>
        <w:t>For LMMs see Winter 2013</w:t>
      </w:r>
      <w:r w:rsidR="00320FD8">
        <w:rPr>
          <w:rFonts w:cs="Arial"/>
          <w:szCs w:val="24"/>
          <w:lang w:val="en-US"/>
        </w:rPr>
        <w:t xml:space="preserve"> and </w:t>
      </w:r>
      <w:proofErr w:type="spellStart"/>
      <w:r w:rsidR="00320FD8">
        <w:rPr>
          <w:rFonts w:cs="Arial"/>
          <w:szCs w:val="24"/>
          <w:lang w:val="en-US"/>
        </w:rPr>
        <w:t>Bross</w:t>
      </w:r>
      <w:proofErr w:type="spellEnd"/>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0" w:name="_Toc14004890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0"/>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1" w:name="_Toc14004890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1"/>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2" w:name="_Toc140048905"/>
      <w:r>
        <w:t>5.1 Interpretation of the findings</w:t>
      </w:r>
      <w:bookmarkEnd w:id="52"/>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3" w:name="_Toc140048906"/>
      <w:r>
        <w:t>5.2 Comparison with previous studies and theoretical predictions</w:t>
      </w:r>
      <w:bookmarkEnd w:id="5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4" w:name="_Toc140048907"/>
      <w:r>
        <w:t>5.3 Implications for the understanding of German fragments</w:t>
      </w:r>
      <w:bookmarkEnd w:id="54"/>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5" w:name="_Toc140048908"/>
      <w:r w:rsidRPr="007D080B">
        <w:rPr>
          <w:rFonts w:cs="Arial"/>
          <w:szCs w:val="24"/>
          <w:lang w:val="en-US"/>
        </w:rPr>
        <w:t>6</w:t>
      </w:r>
      <w:r w:rsidR="00BA120B" w:rsidRPr="007D080B">
        <w:rPr>
          <w:rFonts w:cs="Arial"/>
          <w:szCs w:val="24"/>
          <w:lang w:val="en-US"/>
        </w:rPr>
        <w:t>. Conclusions</w:t>
      </w:r>
      <w:bookmarkEnd w:id="55"/>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6" w:name="_Toc140048909"/>
      <w:r>
        <w:lastRenderedPageBreak/>
        <w:t>6.1 Summary of findings</w:t>
      </w:r>
      <w:bookmarkEnd w:id="56"/>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7" w:name="_Toc140048910"/>
      <w:r>
        <w:t>6.2 Contributions to the field</w:t>
      </w:r>
      <w:bookmarkEnd w:id="57"/>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8" w:name="_Toc140048911"/>
      <w:r>
        <w:t>6.3 Limitations of the study</w:t>
      </w:r>
      <w:bookmarkEnd w:id="58"/>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9" w:name="_Toc140048912"/>
      <w:r>
        <w:t>6.4 Suggestions for future research</w:t>
      </w:r>
      <w:bookmarkEnd w:id="59"/>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0" w:name="_Toc14004891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0"/>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1" w:name="_Toc140048914"/>
      <w:r w:rsidRPr="007D080B">
        <w:rPr>
          <w:rFonts w:cs="Arial"/>
          <w:szCs w:val="24"/>
          <w:lang w:val="en-US"/>
        </w:rPr>
        <w:lastRenderedPageBreak/>
        <w:t>8. Appendix</w:t>
      </w:r>
      <w:bookmarkEnd w:id="61"/>
    </w:p>
    <w:p w14:paraId="01F8F347" w14:textId="2FE58D83" w:rsidR="00B53A17" w:rsidRPr="007D080B" w:rsidRDefault="00B53A17" w:rsidP="00B53A17">
      <w:pPr>
        <w:pStyle w:val="berschrift2"/>
        <w:rPr>
          <w:rFonts w:cs="Arial"/>
        </w:rPr>
      </w:pPr>
      <w:bookmarkStart w:id="62" w:name="_Toc140048915"/>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2"/>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3"/>
      <w:r w:rsidR="001B128C" w:rsidRPr="007D080B">
        <w:rPr>
          <w:rFonts w:cs="Arial"/>
          <w:szCs w:val="24"/>
          <w:lang w:val="en-US"/>
        </w:rPr>
        <w:t>uestionabl</w:t>
      </w:r>
      <w:commentRangeEnd w:id="63"/>
      <w:r w:rsidR="00656E6F">
        <w:rPr>
          <w:rStyle w:val="Kommentarzeichen"/>
        </w:rPr>
        <w:commentReference w:id="63"/>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4" w:name="_Toc140048916"/>
      <w:r w:rsidRPr="007D080B">
        <w:rPr>
          <w:rFonts w:cs="Arial"/>
        </w:rPr>
        <w:lastRenderedPageBreak/>
        <w:t xml:space="preserve">8.2 List of </w:t>
      </w:r>
      <w:r w:rsidR="005C23B6">
        <w:rPr>
          <w:rFonts w:cs="Arial"/>
        </w:rPr>
        <w:t>critical items</w:t>
      </w:r>
      <w:bookmarkEnd w:id="64"/>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5"/>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5"/>
      <w:r>
        <w:rPr>
          <w:rStyle w:val="Kommentarzeichen"/>
        </w:rPr>
        <w:commentReference w:id="65"/>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6" w:name="_Toc140048917"/>
      <w:r w:rsidRPr="00D53C8C">
        <w:t>8.3 List of filler items</w:t>
      </w:r>
      <w:bookmarkEnd w:id="66"/>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67"/>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67"/>
      <w:r w:rsidRPr="00D53C8C">
        <w:rPr>
          <w:rStyle w:val="Kommentarzeichen"/>
        </w:rPr>
        <w:commentReference w:id="67"/>
      </w:r>
      <w:r w:rsidRPr="00D53C8C">
        <w:rPr>
          <w:lang w:val="en-US"/>
        </w:rPr>
        <w:t>.</w:t>
      </w:r>
      <w:r w:rsidR="00DC597F" w:rsidRPr="00D53C8C">
        <w:rPr>
          <w:lang w:val="en-US"/>
        </w:rPr>
        <w:t xml:space="preserve"> The acceptability of the fillers varied, with </w:t>
      </w:r>
      <w:commentRangeStart w:id="68"/>
      <w:r w:rsidR="00DC597F" w:rsidRPr="00D53C8C">
        <w:rPr>
          <w:lang w:val="en-US"/>
        </w:rPr>
        <w:t>A representing full acceptability, B indicating some acceptability, C denoting neutrality in terms of acceptability, D implying partial unacceptability, and E signifying complete unacceptability</w:t>
      </w:r>
      <w:commentRangeEnd w:id="68"/>
      <w:r w:rsidR="00234F01">
        <w:rPr>
          <w:rStyle w:val="Kommentarzeichen"/>
        </w:rPr>
        <w:commentReference w:id="68"/>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77777777"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Paul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320182" w:rsidRPr="00D53C8C">
        <w:rPr>
          <w:rFonts w:eastAsia="Times New Roman" w:cs="Arial"/>
          <w:szCs w:val="24"/>
        </w:rPr>
        <w:t>Paul</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5"/>
      <w:headerReference w:type="default" r:id="rId16"/>
      <w:footerReference w:type="even" r:id="rId17"/>
      <w:footerReference w:type="default" r:id="rId18"/>
      <w:headerReference w:type="first" r:id="rId19"/>
      <w:footerReference w:type="first" r:id="rId20"/>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12T10:36:00Z" w:initials="MS">
    <w:p w14:paraId="3B353504" w14:textId="77777777"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6"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8"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7"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1"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2"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3"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5"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6"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7"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8"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49"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3"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5"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7"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68"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3B353504" w15:done="0"/>
  <w15:commentEx w15:paraId="635A0965"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5900B5" w16cex:dateUtc="2023-07-12T08:36:00Z"/>
  <w16cex:commentExtensible w16cex:durableId="2853D04F" w16cex:dateUtc="2023-07-08T10:08: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3B353504" w16cid:durableId="285900B5"/>
  <w16cid:commentId w16cid:paraId="635A0965" w16cid:durableId="2853D04F"/>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7C96" w14:textId="77777777" w:rsidR="000A2630" w:rsidRDefault="000A2630" w:rsidP="00D0261B">
      <w:pPr>
        <w:spacing w:after="0" w:line="240" w:lineRule="auto"/>
      </w:pPr>
      <w:r>
        <w:separator/>
      </w:r>
    </w:p>
  </w:endnote>
  <w:endnote w:type="continuationSeparator" w:id="0">
    <w:p w14:paraId="384DCCC2" w14:textId="77777777" w:rsidR="000A2630" w:rsidRDefault="000A263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B083" w14:textId="77777777" w:rsidR="000A2630" w:rsidRDefault="000A2630" w:rsidP="00D0261B">
      <w:pPr>
        <w:spacing w:after="0" w:line="240" w:lineRule="auto"/>
      </w:pPr>
      <w:r>
        <w:separator/>
      </w:r>
    </w:p>
  </w:footnote>
  <w:footnote w:type="continuationSeparator" w:id="0">
    <w:p w14:paraId="4DD5F075" w14:textId="77777777" w:rsidR="000A2630" w:rsidRDefault="000A2630"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8787</Words>
  <Characters>50089</Characters>
  <Application>Microsoft Office Word</Application>
  <DocSecurity>0</DocSecurity>
  <Lines>417</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236</cp:revision>
  <cp:lastPrinted>2023-07-10T08:22:00Z</cp:lastPrinted>
  <dcterms:created xsi:type="dcterms:W3CDTF">2023-06-20T09:43:00Z</dcterms:created>
  <dcterms:modified xsi:type="dcterms:W3CDTF">2023-07-14T09:21:00Z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