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23D87" w:rsidRDefault="00257634" w:rsidP="008722B8">
      <w:pPr>
        <w:spacing w:after="0" w:line="360" w:lineRule="auto"/>
        <w:jc w:val="center"/>
        <w:rPr>
          <w:rFonts w:cs="Arial"/>
          <w:szCs w:val="24"/>
          <w:lang w:val="en-US"/>
        </w:rPr>
      </w:pPr>
      <w:r w:rsidRPr="00423D87">
        <w:rPr>
          <w:rFonts w:cs="Arial"/>
          <w:szCs w:val="24"/>
          <w:lang w:val="en-US"/>
        </w:rPr>
        <w:t xml:space="preserve">Eberhard </w:t>
      </w:r>
      <w:proofErr w:type="spellStart"/>
      <w:r w:rsidRPr="00423D87">
        <w:rPr>
          <w:rFonts w:cs="Arial"/>
          <w:szCs w:val="24"/>
          <w:lang w:val="en-US"/>
        </w:rPr>
        <w:t>Karls</w:t>
      </w:r>
      <w:proofErr w:type="spellEnd"/>
      <w:r w:rsidRPr="00423D87">
        <w:rPr>
          <w:rFonts w:cs="Arial"/>
          <w:szCs w:val="24"/>
          <w:lang w:val="en-US"/>
        </w:rPr>
        <w:t xml:space="preserve"> Universität Tübingen</w:t>
      </w:r>
    </w:p>
    <w:p w14:paraId="217211A3" w14:textId="202535FF" w:rsidR="0046008D" w:rsidRPr="00423D87" w:rsidRDefault="00257634" w:rsidP="008722B8">
      <w:pPr>
        <w:spacing w:after="0" w:line="360" w:lineRule="auto"/>
        <w:jc w:val="center"/>
        <w:rPr>
          <w:rFonts w:cs="Arial"/>
          <w:szCs w:val="24"/>
          <w:lang w:val="en-US"/>
        </w:rPr>
      </w:pPr>
      <w:r w:rsidRPr="00423D87">
        <w:rPr>
          <w:rFonts w:cs="Arial"/>
          <w:szCs w:val="24"/>
          <w:lang w:val="en-US"/>
        </w:rPr>
        <w:t xml:space="preserve">Seminar für </w:t>
      </w:r>
      <w:proofErr w:type="spellStart"/>
      <w:r w:rsidRPr="00423D87">
        <w:rPr>
          <w:rFonts w:cs="Arial"/>
          <w:szCs w:val="24"/>
          <w:lang w:val="en-US"/>
        </w:rPr>
        <w:t>Sprachwissenschaft</w:t>
      </w:r>
      <w:proofErr w:type="spellEnd"/>
    </w:p>
    <w:p w14:paraId="0E8064E4" w14:textId="46ACFA66" w:rsidR="008722B8" w:rsidRPr="00423D87" w:rsidRDefault="008722B8" w:rsidP="008722B8">
      <w:pPr>
        <w:spacing w:after="0" w:line="360" w:lineRule="auto"/>
        <w:jc w:val="center"/>
        <w:rPr>
          <w:rFonts w:cs="Arial"/>
          <w:szCs w:val="24"/>
          <w:lang w:val="en-US"/>
        </w:rPr>
      </w:pPr>
    </w:p>
    <w:p w14:paraId="3BFFE61E" w14:textId="77777777" w:rsidR="008722B8" w:rsidRPr="00423D87" w:rsidRDefault="008722B8" w:rsidP="008722B8">
      <w:pPr>
        <w:spacing w:after="0" w:line="360" w:lineRule="auto"/>
        <w:jc w:val="center"/>
        <w:rPr>
          <w:rFonts w:cs="Arial"/>
          <w:szCs w:val="24"/>
          <w:lang w:val="en-US"/>
        </w:rPr>
      </w:pPr>
    </w:p>
    <w:p w14:paraId="6BE27DFA" w14:textId="0DD4A63B" w:rsidR="00AF2F17" w:rsidRPr="00423D87" w:rsidRDefault="00AF2F17" w:rsidP="008722B8">
      <w:pPr>
        <w:spacing w:after="0" w:line="360" w:lineRule="auto"/>
        <w:jc w:val="center"/>
        <w:rPr>
          <w:rFonts w:cs="Arial"/>
          <w:szCs w:val="24"/>
          <w:lang w:val="en-US"/>
        </w:rPr>
      </w:pPr>
    </w:p>
    <w:p w14:paraId="31F9EB91" w14:textId="5BCEF41D" w:rsidR="007E4462" w:rsidRPr="00423D87" w:rsidRDefault="007E4462" w:rsidP="008722B8">
      <w:pPr>
        <w:spacing w:after="0" w:line="360" w:lineRule="auto"/>
        <w:jc w:val="center"/>
        <w:rPr>
          <w:rFonts w:cs="Arial"/>
          <w:szCs w:val="24"/>
          <w:lang w:val="en-US"/>
        </w:rPr>
      </w:pPr>
    </w:p>
    <w:p w14:paraId="2D77DF98" w14:textId="6AC982A3" w:rsidR="007E4462" w:rsidRPr="00423D87" w:rsidRDefault="007E4462" w:rsidP="008722B8">
      <w:pPr>
        <w:spacing w:after="0" w:line="360" w:lineRule="auto"/>
        <w:jc w:val="center"/>
        <w:rPr>
          <w:rFonts w:cs="Arial"/>
          <w:szCs w:val="24"/>
          <w:lang w:val="en-US"/>
        </w:rPr>
      </w:pPr>
    </w:p>
    <w:p w14:paraId="4FA59ECD" w14:textId="77777777" w:rsidR="007E4462" w:rsidRPr="00423D87" w:rsidRDefault="007E4462" w:rsidP="008722B8">
      <w:pPr>
        <w:spacing w:after="0" w:line="360" w:lineRule="auto"/>
        <w:jc w:val="center"/>
        <w:rPr>
          <w:rFonts w:cs="Arial"/>
          <w:szCs w:val="24"/>
          <w:lang w:val="en-US"/>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3AE221D8" w14:textId="00CA864B" w:rsidR="00064C5C" w:rsidRDefault="00AE199C">
      <w:pPr>
        <w:pStyle w:val="Verzeichnis1"/>
        <w:rPr>
          <w:rFonts w:asciiTheme="minorHAnsi" w:eastAsiaTheme="minorEastAsia" w:hAnsiTheme="minorHAnsi"/>
          <w:noProof/>
          <w:sz w:val="22"/>
          <w:lang w:val="en-AU"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064C5C" w:rsidRPr="006B072B">
        <w:rPr>
          <w:noProof/>
          <w:lang w:val="en-US"/>
        </w:rPr>
        <w:t>1. Introduction</w:t>
      </w:r>
      <w:r w:rsidR="00064C5C" w:rsidRPr="00064C5C">
        <w:rPr>
          <w:noProof/>
          <w:lang w:val="en-AU"/>
        </w:rPr>
        <w:tab/>
      </w:r>
      <w:r w:rsidR="00064C5C">
        <w:rPr>
          <w:noProof/>
        </w:rPr>
        <w:fldChar w:fldCharType="begin"/>
      </w:r>
      <w:r w:rsidR="00064C5C" w:rsidRPr="00064C5C">
        <w:rPr>
          <w:noProof/>
          <w:lang w:val="en-AU"/>
        </w:rPr>
        <w:instrText xml:space="preserve"> PAGEREF _Toc131516922 \h </w:instrText>
      </w:r>
      <w:r w:rsidR="00064C5C">
        <w:rPr>
          <w:noProof/>
        </w:rPr>
      </w:r>
      <w:r w:rsidR="00064C5C">
        <w:rPr>
          <w:noProof/>
        </w:rPr>
        <w:fldChar w:fldCharType="separate"/>
      </w:r>
      <w:r w:rsidR="00064C5C" w:rsidRPr="00064C5C">
        <w:rPr>
          <w:noProof/>
          <w:lang w:val="en-AU"/>
        </w:rPr>
        <w:t>5</w:t>
      </w:r>
      <w:r w:rsidR="00064C5C">
        <w:rPr>
          <w:noProof/>
        </w:rPr>
        <w:fldChar w:fldCharType="end"/>
      </w:r>
    </w:p>
    <w:p w14:paraId="10393F5A" w14:textId="638EE650" w:rsidR="00064C5C" w:rsidRDefault="00064C5C">
      <w:pPr>
        <w:pStyle w:val="Verzeichnis1"/>
        <w:rPr>
          <w:rFonts w:asciiTheme="minorHAnsi" w:eastAsiaTheme="minorEastAsia" w:hAnsiTheme="minorHAnsi"/>
          <w:noProof/>
          <w:sz w:val="22"/>
          <w:lang w:val="en-AU" w:eastAsia="en-AU"/>
        </w:rPr>
      </w:pPr>
      <w:r w:rsidRPr="006B072B">
        <w:rPr>
          <w:noProof/>
          <w:lang w:val="en-US"/>
        </w:rPr>
        <w:t>2. Literary review</w:t>
      </w:r>
      <w:r w:rsidRPr="00064C5C">
        <w:rPr>
          <w:noProof/>
          <w:lang w:val="en-AU"/>
        </w:rPr>
        <w:tab/>
      </w:r>
      <w:r>
        <w:rPr>
          <w:noProof/>
        </w:rPr>
        <w:fldChar w:fldCharType="begin"/>
      </w:r>
      <w:r w:rsidRPr="00064C5C">
        <w:rPr>
          <w:noProof/>
          <w:lang w:val="en-AU"/>
        </w:rPr>
        <w:instrText xml:space="preserve"> PAGEREF _Toc131516923 \h </w:instrText>
      </w:r>
      <w:r>
        <w:rPr>
          <w:noProof/>
        </w:rPr>
      </w:r>
      <w:r>
        <w:rPr>
          <w:noProof/>
        </w:rPr>
        <w:fldChar w:fldCharType="separate"/>
      </w:r>
      <w:r w:rsidRPr="00064C5C">
        <w:rPr>
          <w:noProof/>
          <w:lang w:val="en-AU"/>
        </w:rPr>
        <w:t>6</w:t>
      </w:r>
      <w:r>
        <w:rPr>
          <w:noProof/>
        </w:rPr>
        <w:fldChar w:fldCharType="end"/>
      </w:r>
    </w:p>
    <w:p w14:paraId="7F40180A" w14:textId="59834219" w:rsidR="00064C5C" w:rsidRDefault="00064C5C">
      <w:pPr>
        <w:pStyle w:val="Verzeichnis1"/>
        <w:rPr>
          <w:rFonts w:asciiTheme="minorHAnsi" w:eastAsiaTheme="minorEastAsia" w:hAnsiTheme="minorHAnsi"/>
          <w:noProof/>
          <w:sz w:val="22"/>
          <w:lang w:val="en-AU" w:eastAsia="en-AU"/>
        </w:rPr>
      </w:pPr>
      <w:r w:rsidRPr="006B072B">
        <w:rPr>
          <w:noProof/>
          <w:lang w:val="en-US"/>
        </w:rPr>
        <w:t>3. Replication study</w:t>
      </w:r>
      <w:r w:rsidRPr="00064C5C">
        <w:rPr>
          <w:noProof/>
          <w:lang w:val="en-AU"/>
        </w:rPr>
        <w:tab/>
      </w:r>
      <w:r>
        <w:rPr>
          <w:noProof/>
        </w:rPr>
        <w:fldChar w:fldCharType="begin"/>
      </w:r>
      <w:r w:rsidRPr="00064C5C">
        <w:rPr>
          <w:noProof/>
          <w:lang w:val="en-AU"/>
        </w:rPr>
        <w:instrText xml:space="preserve"> PAGEREF _Toc131516924 \h </w:instrText>
      </w:r>
      <w:r>
        <w:rPr>
          <w:noProof/>
        </w:rPr>
      </w:r>
      <w:r>
        <w:rPr>
          <w:noProof/>
        </w:rPr>
        <w:fldChar w:fldCharType="separate"/>
      </w:r>
      <w:r w:rsidRPr="00064C5C">
        <w:rPr>
          <w:noProof/>
          <w:lang w:val="en-AU"/>
        </w:rPr>
        <w:t>9</w:t>
      </w:r>
      <w:r>
        <w:rPr>
          <w:noProof/>
        </w:rPr>
        <w:fldChar w:fldCharType="end"/>
      </w:r>
    </w:p>
    <w:p w14:paraId="58E72840" w14:textId="4B2E44AE"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3.1 Study design</w:t>
      </w:r>
      <w:r w:rsidRPr="00064C5C">
        <w:rPr>
          <w:noProof/>
          <w:lang w:val="en-AU"/>
        </w:rPr>
        <w:tab/>
      </w:r>
      <w:r>
        <w:rPr>
          <w:noProof/>
        </w:rPr>
        <w:fldChar w:fldCharType="begin"/>
      </w:r>
      <w:r w:rsidRPr="00064C5C">
        <w:rPr>
          <w:noProof/>
          <w:lang w:val="en-AU"/>
        </w:rPr>
        <w:instrText xml:space="preserve"> PAGEREF _Toc131516925 \h </w:instrText>
      </w:r>
      <w:r>
        <w:rPr>
          <w:noProof/>
        </w:rPr>
      </w:r>
      <w:r>
        <w:rPr>
          <w:noProof/>
        </w:rPr>
        <w:fldChar w:fldCharType="separate"/>
      </w:r>
      <w:r w:rsidRPr="00064C5C">
        <w:rPr>
          <w:noProof/>
          <w:lang w:val="en-AU"/>
        </w:rPr>
        <w:t>9</w:t>
      </w:r>
      <w:r>
        <w:rPr>
          <w:noProof/>
        </w:rPr>
        <w:fldChar w:fldCharType="end"/>
      </w:r>
    </w:p>
    <w:p w14:paraId="36FFF964" w14:textId="18EB8E8C"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3.2 Participants</w:t>
      </w:r>
      <w:r w:rsidRPr="00064C5C">
        <w:rPr>
          <w:noProof/>
          <w:lang w:val="en-AU"/>
        </w:rPr>
        <w:tab/>
      </w:r>
      <w:r>
        <w:rPr>
          <w:noProof/>
        </w:rPr>
        <w:fldChar w:fldCharType="begin"/>
      </w:r>
      <w:r w:rsidRPr="00064C5C">
        <w:rPr>
          <w:noProof/>
          <w:lang w:val="en-AU"/>
        </w:rPr>
        <w:instrText xml:space="preserve"> PAGEREF _Toc131516926 \h </w:instrText>
      </w:r>
      <w:r>
        <w:rPr>
          <w:noProof/>
        </w:rPr>
      </w:r>
      <w:r>
        <w:rPr>
          <w:noProof/>
        </w:rPr>
        <w:fldChar w:fldCharType="separate"/>
      </w:r>
      <w:r w:rsidRPr="00064C5C">
        <w:rPr>
          <w:noProof/>
          <w:lang w:val="en-AU"/>
        </w:rPr>
        <w:t>11</w:t>
      </w:r>
      <w:r>
        <w:rPr>
          <w:noProof/>
        </w:rPr>
        <w:fldChar w:fldCharType="end"/>
      </w:r>
    </w:p>
    <w:p w14:paraId="150F3883" w14:textId="1557D0A0"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3.3 Findings</w:t>
      </w:r>
      <w:r w:rsidRPr="00064C5C">
        <w:rPr>
          <w:noProof/>
          <w:lang w:val="en-AU"/>
        </w:rPr>
        <w:tab/>
      </w:r>
      <w:r>
        <w:rPr>
          <w:noProof/>
        </w:rPr>
        <w:fldChar w:fldCharType="begin"/>
      </w:r>
      <w:r w:rsidRPr="00064C5C">
        <w:rPr>
          <w:noProof/>
          <w:lang w:val="en-AU"/>
        </w:rPr>
        <w:instrText xml:space="preserve"> PAGEREF _Toc131516927 \h </w:instrText>
      </w:r>
      <w:r>
        <w:rPr>
          <w:noProof/>
        </w:rPr>
      </w:r>
      <w:r>
        <w:rPr>
          <w:noProof/>
        </w:rPr>
        <w:fldChar w:fldCharType="separate"/>
      </w:r>
      <w:r w:rsidRPr="00064C5C">
        <w:rPr>
          <w:noProof/>
          <w:lang w:val="en-AU"/>
        </w:rPr>
        <w:t>12</w:t>
      </w:r>
      <w:r>
        <w:rPr>
          <w:noProof/>
        </w:rPr>
        <w:fldChar w:fldCharType="end"/>
      </w:r>
    </w:p>
    <w:p w14:paraId="03F7C280" w14:textId="46BB4ED5" w:rsidR="00064C5C" w:rsidRDefault="00064C5C">
      <w:pPr>
        <w:pStyle w:val="Verzeichnis1"/>
        <w:rPr>
          <w:rFonts w:asciiTheme="minorHAnsi" w:eastAsiaTheme="minorEastAsia" w:hAnsiTheme="minorHAnsi"/>
          <w:noProof/>
          <w:sz w:val="22"/>
          <w:lang w:val="en-AU" w:eastAsia="en-AU"/>
        </w:rPr>
      </w:pPr>
      <w:r w:rsidRPr="006B072B">
        <w:rPr>
          <w:noProof/>
          <w:lang w:val="en-US"/>
        </w:rPr>
        <w:t>4. Follow-up study</w:t>
      </w:r>
      <w:r w:rsidRPr="00064C5C">
        <w:rPr>
          <w:noProof/>
          <w:lang w:val="en-AU"/>
        </w:rPr>
        <w:tab/>
      </w:r>
      <w:r>
        <w:rPr>
          <w:noProof/>
        </w:rPr>
        <w:fldChar w:fldCharType="begin"/>
      </w:r>
      <w:r w:rsidRPr="00064C5C">
        <w:rPr>
          <w:noProof/>
          <w:lang w:val="en-AU"/>
        </w:rPr>
        <w:instrText xml:space="preserve"> PAGEREF _Toc131516928 \h </w:instrText>
      </w:r>
      <w:r>
        <w:rPr>
          <w:noProof/>
        </w:rPr>
      </w:r>
      <w:r>
        <w:rPr>
          <w:noProof/>
        </w:rPr>
        <w:fldChar w:fldCharType="separate"/>
      </w:r>
      <w:r w:rsidRPr="00064C5C">
        <w:rPr>
          <w:noProof/>
          <w:lang w:val="en-AU"/>
        </w:rPr>
        <w:t>17</w:t>
      </w:r>
      <w:r>
        <w:rPr>
          <w:noProof/>
        </w:rPr>
        <w:fldChar w:fldCharType="end"/>
      </w:r>
    </w:p>
    <w:p w14:paraId="52ED51DC" w14:textId="0E45690A"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4.1 Study design</w:t>
      </w:r>
      <w:r w:rsidRPr="00064C5C">
        <w:rPr>
          <w:noProof/>
          <w:lang w:val="en-AU"/>
        </w:rPr>
        <w:tab/>
      </w:r>
      <w:r>
        <w:rPr>
          <w:noProof/>
        </w:rPr>
        <w:fldChar w:fldCharType="begin"/>
      </w:r>
      <w:r w:rsidRPr="00064C5C">
        <w:rPr>
          <w:noProof/>
          <w:lang w:val="en-AU"/>
        </w:rPr>
        <w:instrText xml:space="preserve"> PAGEREF _Toc131516929 \h </w:instrText>
      </w:r>
      <w:r>
        <w:rPr>
          <w:noProof/>
        </w:rPr>
      </w:r>
      <w:r>
        <w:rPr>
          <w:noProof/>
        </w:rPr>
        <w:fldChar w:fldCharType="separate"/>
      </w:r>
      <w:r w:rsidRPr="00064C5C">
        <w:rPr>
          <w:noProof/>
          <w:lang w:val="en-AU"/>
        </w:rPr>
        <w:t>17</w:t>
      </w:r>
      <w:r>
        <w:rPr>
          <w:noProof/>
        </w:rPr>
        <w:fldChar w:fldCharType="end"/>
      </w:r>
    </w:p>
    <w:p w14:paraId="756A48F3" w14:textId="6D133BC1"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4.2 Participants</w:t>
      </w:r>
      <w:r w:rsidRPr="00064C5C">
        <w:rPr>
          <w:noProof/>
          <w:lang w:val="en-AU"/>
        </w:rPr>
        <w:tab/>
      </w:r>
      <w:r>
        <w:rPr>
          <w:noProof/>
        </w:rPr>
        <w:fldChar w:fldCharType="begin"/>
      </w:r>
      <w:r w:rsidRPr="00064C5C">
        <w:rPr>
          <w:noProof/>
          <w:lang w:val="en-AU"/>
        </w:rPr>
        <w:instrText xml:space="preserve"> PAGEREF _Toc131516930 \h </w:instrText>
      </w:r>
      <w:r>
        <w:rPr>
          <w:noProof/>
        </w:rPr>
      </w:r>
      <w:r>
        <w:rPr>
          <w:noProof/>
        </w:rPr>
        <w:fldChar w:fldCharType="separate"/>
      </w:r>
      <w:r w:rsidRPr="00064C5C">
        <w:rPr>
          <w:noProof/>
          <w:lang w:val="en-AU"/>
        </w:rPr>
        <w:t>18</w:t>
      </w:r>
      <w:r>
        <w:rPr>
          <w:noProof/>
        </w:rPr>
        <w:fldChar w:fldCharType="end"/>
      </w:r>
    </w:p>
    <w:p w14:paraId="097D7EED" w14:textId="1C4467BE"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4.3 Findings</w:t>
      </w:r>
      <w:r w:rsidRPr="00064C5C">
        <w:rPr>
          <w:noProof/>
          <w:lang w:val="en-AU"/>
        </w:rPr>
        <w:tab/>
      </w:r>
      <w:r>
        <w:rPr>
          <w:noProof/>
        </w:rPr>
        <w:fldChar w:fldCharType="begin"/>
      </w:r>
      <w:r w:rsidRPr="00064C5C">
        <w:rPr>
          <w:noProof/>
          <w:lang w:val="en-AU"/>
        </w:rPr>
        <w:instrText xml:space="preserve"> PAGEREF _Toc131516931 \h </w:instrText>
      </w:r>
      <w:r>
        <w:rPr>
          <w:noProof/>
        </w:rPr>
      </w:r>
      <w:r>
        <w:rPr>
          <w:noProof/>
        </w:rPr>
        <w:fldChar w:fldCharType="separate"/>
      </w:r>
      <w:r w:rsidRPr="00064C5C">
        <w:rPr>
          <w:noProof/>
          <w:lang w:val="en-AU"/>
        </w:rPr>
        <w:t>19</w:t>
      </w:r>
      <w:r>
        <w:rPr>
          <w:noProof/>
        </w:rPr>
        <w:fldChar w:fldCharType="end"/>
      </w:r>
    </w:p>
    <w:p w14:paraId="2E7B0C43" w14:textId="6BBAE462" w:rsidR="00064C5C" w:rsidRDefault="00064C5C">
      <w:pPr>
        <w:pStyle w:val="Verzeichnis1"/>
        <w:rPr>
          <w:rFonts w:asciiTheme="minorHAnsi" w:eastAsiaTheme="minorEastAsia" w:hAnsiTheme="minorHAnsi"/>
          <w:noProof/>
          <w:sz w:val="22"/>
          <w:lang w:val="en-AU" w:eastAsia="en-AU"/>
        </w:rPr>
      </w:pPr>
      <w:r w:rsidRPr="006B072B">
        <w:rPr>
          <w:noProof/>
          <w:lang w:val="en-US"/>
        </w:rPr>
        <w:t>5. Discussion</w:t>
      </w:r>
      <w:r w:rsidRPr="00064C5C">
        <w:rPr>
          <w:noProof/>
          <w:lang w:val="en-AU"/>
        </w:rPr>
        <w:tab/>
      </w:r>
      <w:r>
        <w:rPr>
          <w:noProof/>
        </w:rPr>
        <w:fldChar w:fldCharType="begin"/>
      </w:r>
      <w:r w:rsidRPr="00064C5C">
        <w:rPr>
          <w:noProof/>
          <w:lang w:val="en-AU"/>
        </w:rPr>
        <w:instrText xml:space="preserve"> PAGEREF _Toc131516932 \h </w:instrText>
      </w:r>
      <w:r>
        <w:rPr>
          <w:noProof/>
        </w:rPr>
      </w:r>
      <w:r>
        <w:rPr>
          <w:noProof/>
        </w:rPr>
        <w:fldChar w:fldCharType="separate"/>
      </w:r>
      <w:r w:rsidRPr="00064C5C">
        <w:rPr>
          <w:noProof/>
          <w:lang w:val="en-AU"/>
        </w:rPr>
        <w:t>21</w:t>
      </w:r>
      <w:r>
        <w:rPr>
          <w:noProof/>
        </w:rPr>
        <w:fldChar w:fldCharType="end"/>
      </w:r>
    </w:p>
    <w:p w14:paraId="419228BA" w14:textId="3DC91EA1" w:rsidR="00064C5C" w:rsidRDefault="00064C5C">
      <w:pPr>
        <w:pStyle w:val="Verzeichnis1"/>
        <w:rPr>
          <w:rFonts w:asciiTheme="minorHAnsi" w:eastAsiaTheme="minorEastAsia" w:hAnsiTheme="minorHAnsi"/>
          <w:noProof/>
          <w:sz w:val="22"/>
          <w:lang w:val="en-AU" w:eastAsia="en-AU"/>
        </w:rPr>
      </w:pPr>
      <w:r w:rsidRPr="006B072B">
        <w:rPr>
          <w:noProof/>
          <w:lang w:val="en-US"/>
        </w:rPr>
        <w:t>6. Conclusions</w:t>
      </w:r>
      <w:r w:rsidRPr="00064C5C">
        <w:rPr>
          <w:noProof/>
          <w:lang w:val="en-AU"/>
        </w:rPr>
        <w:tab/>
      </w:r>
      <w:r>
        <w:rPr>
          <w:noProof/>
        </w:rPr>
        <w:fldChar w:fldCharType="begin"/>
      </w:r>
      <w:r w:rsidRPr="00064C5C">
        <w:rPr>
          <w:noProof/>
          <w:lang w:val="en-AU"/>
        </w:rPr>
        <w:instrText xml:space="preserve"> PAGEREF _Toc131516933 \h </w:instrText>
      </w:r>
      <w:r>
        <w:rPr>
          <w:noProof/>
        </w:rPr>
      </w:r>
      <w:r>
        <w:rPr>
          <w:noProof/>
        </w:rPr>
        <w:fldChar w:fldCharType="separate"/>
      </w:r>
      <w:r w:rsidRPr="00064C5C">
        <w:rPr>
          <w:noProof/>
          <w:lang w:val="en-AU"/>
        </w:rPr>
        <w:t>26</w:t>
      </w:r>
      <w:r>
        <w:rPr>
          <w:noProof/>
        </w:rPr>
        <w:fldChar w:fldCharType="end"/>
      </w:r>
    </w:p>
    <w:p w14:paraId="1F313EDD" w14:textId="30BC285F" w:rsidR="00064C5C" w:rsidRDefault="00064C5C">
      <w:pPr>
        <w:pStyle w:val="Verzeichnis1"/>
        <w:rPr>
          <w:rFonts w:asciiTheme="minorHAnsi" w:eastAsiaTheme="minorEastAsia" w:hAnsiTheme="minorHAnsi"/>
          <w:noProof/>
          <w:sz w:val="22"/>
          <w:lang w:val="en-AU" w:eastAsia="en-AU"/>
        </w:rPr>
      </w:pPr>
      <w:r w:rsidRPr="006B072B">
        <w:rPr>
          <w:noProof/>
          <w:lang w:val="en-US"/>
        </w:rPr>
        <w:t>7. Bibliography</w:t>
      </w:r>
      <w:r w:rsidRPr="00064C5C">
        <w:rPr>
          <w:noProof/>
          <w:lang w:val="en-AU"/>
        </w:rPr>
        <w:tab/>
      </w:r>
      <w:r>
        <w:rPr>
          <w:noProof/>
        </w:rPr>
        <w:fldChar w:fldCharType="begin"/>
      </w:r>
      <w:r w:rsidRPr="00064C5C">
        <w:rPr>
          <w:noProof/>
          <w:lang w:val="en-AU"/>
        </w:rPr>
        <w:instrText xml:space="preserve"> PAGEREF _Toc131516934 \h </w:instrText>
      </w:r>
      <w:r>
        <w:rPr>
          <w:noProof/>
        </w:rPr>
      </w:r>
      <w:r>
        <w:rPr>
          <w:noProof/>
        </w:rPr>
        <w:fldChar w:fldCharType="separate"/>
      </w:r>
      <w:r w:rsidRPr="00064C5C">
        <w:rPr>
          <w:noProof/>
          <w:lang w:val="en-AU"/>
        </w:rPr>
        <w:t>28</w:t>
      </w:r>
      <w:r>
        <w:rPr>
          <w:noProof/>
        </w:rPr>
        <w:fldChar w:fldCharType="end"/>
      </w:r>
    </w:p>
    <w:p w14:paraId="3F456F37" w14:textId="22F94A3A" w:rsidR="00064C5C" w:rsidRDefault="00064C5C">
      <w:pPr>
        <w:pStyle w:val="Verzeichnis1"/>
        <w:rPr>
          <w:rFonts w:asciiTheme="minorHAnsi" w:eastAsiaTheme="minorEastAsia" w:hAnsiTheme="minorHAnsi"/>
          <w:noProof/>
          <w:sz w:val="22"/>
          <w:lang w:val="en-AU" w:eastAsia="en-AU"/>
        </w:rPr>
      </w:pPr>
      <w:r w:rsidRPr="006B072B">
        <w:rPr>
          <w:noProof/>
          <w:lang w:val="en-US"/>
        </w:rPr>
        <w:t>8. Appendix</w:t>
      </w:r>
      <w:r w:rsidRPr="00064C5C">
        <w:rPr>
          <w:noProof/>
          <w:lang w:val="en-AU"/>
        </w:rPr>
        <w:tab/>
      </w:r>
      <w:r>
        <w:rPr>
          <w:noProof/>
        </w:rPr>
        <w:fldChar w:fldCharType="begin"/>
      </w:r>
      <w:r w:rsidRPr="00064C5C">
        <w:rPr>
          <w:noProof/>
          <w:lang w:val="en-AU"/>
        </w:rPr>
        <w:instrText xml:space="preserve"> PAGEREF _Toc131516935 \h </w:instrText>
      </w:r>
      <w:r>
        <w:rPr>
          <w:noProof/>
        </w:rPr>
      </w:r>
      <w:r>
        <w:rPr>
          <w:noProof/>
        </w:rPr>
        <w:fldChar w:fldCharType="separate"/>
      </w:r>
      <w:r w:rsidRPr="00064C5C">
        <w:rPr>
          <w:noProof/>
          <w:lang w:val="en-AU"/>
        </w:rPr>
        <w:t>31</w:t>
      </w:r>
      <w:r>
        <w:rPr>
          <w:noProof/>
        </w:rPr>
        <w:fldChar w:fldCharType="end"/>
      </w:r>
    </w:p>
    <w:p w14:paraId="65C85D08" w14:textId="22F73318"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8.1 Pilot study: Findings</w:t>
      </w:r>
      <w:r w:rsidRPr="00064C5C">
        <w:rPr>
          <w:noProof/>
          <w:lang w:val="en-AU"/>
        </w:rPr>
        <w:tab/>
      </w:r>
      <w:r>
        <w:rPr>
          <w:noProof/>
        </w:rPr>
        <w:fldChar w:fldCharType="begin"/>
      </w:r>
      <w:r w:rsidRPr="00064C5C">
        <w:rPr>
          <w:noProof/>
          <w:lang w:val="en-AU"/>
        </w:rPr>
        <w:instrText xml:space="preserve"> PAGEREF _Toc131516936 \h </w:instrText>
      </w:r>
      <w:r>
        <w:rPr>
          <w:noProof/>
        </w:rPr>
      </w:r>
      <w:r>
        <w:rPr>
          <w:noProof/>
        </w:rPr>
        <w:fldChar w:fldCharType="separate"/>
      </w:r>
      <w:r w:rsidRPr="00064C5C">
        <w:rPr>
          <w:noProof/>
          <w:lang w:val="en-AU"/>
        </w:rPr>
        <w:t>31</w:t>
      </w:r>
      <w:r>
        <w:rPr>
          <w:noProof/>
        </w:rPr>
        <w:fldChar w:fldCharType="end"/>
      </w:r>
    </w:p>
    <w:p w14:paraId="52A5E3C2" w14:textId="289A5382"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8.2 Materials of replication study</w:t>
      </w:r>
      <w:r w:rsidRPr="00064C5C">
        <w:rPr>
          <w:noProof/>
          <w:lang w:val="en-AU"/>
        </w:rPr>
        <w:tab/>
      </w:r>
      <w:r>
        <w:rPr>
          <w:noProof/>
        </w:rPr>
        <w:fldChar w:fldCharType="begin"/>
      </w:r>
      <w:r w:rsidRPr="00064C5C">
        <w:rPr>
          <w:noProof/>
          <w:lang w:val="en-AU"/>
        </w:rPr>
        <w:instrText xml:space="preserve"> PAGEREF _Toc131516937 \h </w:instrText>
      </w:r>
      <w:r>
        <w:rPr>
          <w:noProof/>
        </w:rPr>
      </w:r>
      <w:r>
        <w:rPr>
          <w:noProof/>
        </w:rPr>
        <w:fldChar w:fldCharType="separate"/>
      </w:r>
      <w:r w:rsidRPr="00064C5C">
        <w:rPr>
          <w:noProof/>
          <w:lang w:val="en-AU"/>
        </w:rPr>
        <w:t>34</w:t>
      </w:r>
      <w:r>
        <w:rPr>
          <w:noProof/>
        </w:rPr>
        <w:fldChar w:fldCharType="end"/>
      </w:r>
    </w:p>
    <w:p w14:paraId="411F59E0" w14:textId="616EC33C"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8.3 Materials of follow-up study</w:t>
      </w:r>
      <w:r w:rsidRPr="00064C5C">
        <w:rPr>
          <w:noProof/>
          <w:lang w:val="en-AU"/>
        </w:rPr>
        <w:tab/>
      </w:r>
      <w:r>
        <w:rPr>
          <w:noProof/>
        </w:rPr>
        <w:fldChar w:fldCharType="begin"/>
      </w:r>
      <w:r w:rsidRPr="00064C5C">
        <w:rPr>
          <w:noProof/>
          <w:lang w:val="en-AU"/>
        </w:rPr>
        <w:instrText xml:space="preserve"> PAGEREF _Toc131516938 \h </w:instrText>
      </w:r>
      <w:r>
        <w:rPr>
          <w:noProof/>
        </w:rPr>
      </w:r>
      <w:r>
        <w:rPr>
          <w:noProof/>
        </w:rPr>
        <w:fldChar w:fldCharType="separate"/>
      </w:r>
      <w:r w:rsidRPr="00064C5C">
        <w:rPr>
          <w:noProof/>
          <w:lang w:val="en-AU"/>
        </w:rPr>
        <w:t>35</w:t>
      </w:r>
      <w:r>
        <w:rPr>
          <w:noProof/>
        </w:rPr>
        <w:fldChar w:fldCharType="end"/>
      </w:r>
    </w:p>
    <w:p w14:paraId="53E76A41" w14:textId="6AC7BC64"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32F7E484" w14:textId="2D834723" w:rsidR="00064C5C" w:rsidRDefault="00C9649A"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516883" w:history="1">
        <w:r w:rsidR="00064C5C" w:rsidRPr="006020B7">
          <w:rPr>
            <w:rStyle w:val="Hyperlink"/>
            <w:noProof/>
            <w:lang w:val="en-US"/>
          </w:rPr>
          <w:t>Figure 1: Categorizing participants' responses reveals that enforcement-oriented solutions are preferred overall.</w:t>
        </w:r>
        <w:r w:rsidR="00064C5C">
          <w:rPr>
            <w:noProof/>
            <w:webHidden/>
          </w:rPr>
          <w:tab/>
        </w:r>
        <w:r w:rsidR="00064C5C">
          <w:rPr>
            <w:noProof/>
            <w:webHidden/>
          </w:rPr>
          <w:fldChar w:fldCharType="begin"/>
        </w:r>
        <w:r w:rsidR="00064C5C">
          <w:rPr>
            <w:noProof/>
            <w:webHidden/>
          </w:rPr>
          <w:instrText xml:space="preserve"> PAGEREF _Toc131516883 \h </w:instrText>
        </w:r>
        <w:r w:rsidR="00064C5C">
          <w:rPr>
            <w:noProof/>
            <w:webHidden/>
          </w:rPr>
        </w:r>
        <w:r w:rsidR="00064C5C">
          <w:rPr>
            <w:noProof/>
            <w:webHidden/>
          </w:rPr>
          <w:fldChar w:fldCharType="separate"/>
        </w:r>
        <w:r w:rsidR="00064C5C">
          <w:rPr>
            <w:noProof/>
            <w:webHidden/>
          </w:rPr>
          <w:t>13</w:t>
        </w:r>
        <w:r w:rsidR="00064C5C">
          <w:rPr>
            <w:noProof/>
            <w:webHidden/>
          </w:rPr>
          <w:fldChar w:fldCharType="end"/>
        </w:r>
      </w:hyperlink>
    </w:p>
    <w:p w14:paraId="6B065D70" w14:textId="53CC1456"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4" w:history="1">
        <w:r w:rsidRPr="006020B7">
          <w:rPr>
            <w:rStyle w:val="Hyperlink"/>
            <w:noProof/>
            <w:lang w:val="en-US"/>
          </w:rPr>
          <w:t>Figure 2: Participants’ responses are influenced by the metaphorical framing of the description as well as their political affiliations.</w:t>
        </w:r>
        <w:r>
          <w:rPr>
            <w:noProof/>
            <w:webHidden/>
          </w:rPr>
          <w:tab/>
        </w:r>
        <w:r>
          <w:rPr>
            <w:noProof/>
            <w:webHidden/>
          </w:rPr>
          <w:fldChar w:fldCharType="begin"/>
        </w:r>
        <w:r>
          <w:rPr>
            <w:noProof/>
            <w:webHidden/>
          </w:rPr>
          <w:instrText xml:space="preserve"> PAGEREF _Toc131516884 \h </w:instrText>
        </w:r>
        <w:r>
          <w:rPr>
            <w:noProof/>
            <w:webHidden/>
          </w:rPr>
        </w:r>
        <w:r>
          <w:rPr>
            <w:noProof/>
            <w:webHidden/>
          </w:rPr>
          <w:fldChar w:fldCharType="separate"/>
        </w:r>
        <w:r>
          <w:rPr>
            <w:noProof/>
            <w:webHidden/>
          </w:rPr>
          <w:t>14</w:t>
        </w:r>
        <w:r>
          <w:rPr>
            <w:noProof/>
            <w:webHidden/>
          </w:rPr>
          <w:fldChar w:fldCharType="end"/>
        </w:r>
      </w:hyperlink>
    </w:p>
    <w:p w14:paraId="6E3B8872" w14:textId="768AED29"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5" w:history="1">
        <w:r w:rsidRPr="006020B7">
          <w:rPr>
            <w:rStyle w:val="Hyperlink"/>
            <w:noProof/>
            <w:lang w:val="en-US"/>
          </w:rPr>
          <w:t>Figure 3: Plotting reliability against vignette length reveals hardly any influence of vignette length on perceived reliability.</w:t>
        </w:r>
        <w:r>
          <w:rPr>
            <w:noProof/>
            <w:webHidden/>
          </w:rPr>
          <w:tab/>
        </w:r>
        <w:r>
          <w:rPr>
            <w:noProof/>
            <w:webHidden/>
          </w:rPr>
          <w:fldChar w:fldCharType="begin"/>
        </w:r>
        <w:r>
          <w:rPr>
            <w:noProof/>
            <w:webHidden/>
          </w:rPr>
          <w:instrText xml:space="preserve"> PAGEREF _Toc131516885 \h </w:instrText>
        </w:r>
        <w:r>
          <w:rPr>
            <w:noProof/>
            <w:webHidden/>
          </w:rPr>
        </w:r>
        <w:r>
          <w:rPr>
            <w:noProof/>
            <w:webHidden/>
          </w:rPr>
          <w:fldChar w:fldCharType="separate"/>
        </w:r>
        <w:r>
          <w:rPr>
            <w:noProof/>
            <w:webHidden/>
          </w:rPr>
          <w:t>16</w:t>
        </w:r>
        <w:r>
          <w:rPr>
            <w:noProof/>
            <w:webHidden/>
          </w:rPr>
          <w:fldChar w:fldCharType="end"/>
        </w:r>
      </w:hyperlink>
    </w:p>
    <w:p w14:paraId="7CEE79DE" w14:textId="4D77DB4D"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6" w:history="1">
        <w:r w:rsidRPr="006020B7">
          <w:rPr>
            <w:rStyle w:val="Hyperlink"/>
            <w:noProof/>
            <w:lang w:val="en-US"/>
          </w:rPr>
          <w:t>Figure 4: Participants’ responses divided according to metaphorical frame and reliability of the speaker.</w:t>
        </w:r>
        <w:r>
          <w:rPr>
            <w:noProof/>
            <w:webHidden/>
          </w:rPr>
          <w:tab/>
        </w:r>
        <w:r>
          <w:rPr>
            <w:noProof/>
            <w:webHidden/>
          </w:rPr>
          <w:fldChar w:fldCharType="begin"/>
        </w:r>
        <w:r>
          <w:rPr>
            <w:noProof/>
            <w:webHidden/>
          </w:rPr>
          <w:instrText xml:space="preserve"> PAGEREF _Toc131516886 \h </w:instrText>
        </w:r>
        <w:r>
          <w:rPr>
            <w:noProof/>
            <w:webHidden/>
          </w:rPr>
        </w:r>
        <w:r>
          <w:rPr>
            <w:noProof/>
            <w:webHidden/>
          </w:rPr>
          <w:fldChar w:fldCharType="separate"/>
        </w:r>
        <w:r>
          <w:rPr>
            <w:noProof/>
            <w:webHidden/>
          </w:rPr>
          <w:t>20</w:t>
        </w:r>
        <w:r>
          <w:rPr>
            <w:noProof/>
            <w:webHidden/>
          </w:rPr>
          <w:fldChar w:fldCharType="end"/>
        </w:r>
      </w:hyperlink>
    </w:p>
    <w:p w14:paraId="63C62E9C" w14:textId="146F54D7"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7" w:history="1">
        <w:r w:rsidRPr="006020B7">
          <w:rPr>
            <w:rStyle w:val="Hyperlink"/>
            <w:noProof/>
            <w:lang w:val="en-US"/>
          </w:rPr>
          <w:t>Figure 5: Overall preference of enforcement-oriented suggestions in the follow-up study.</w:t>
        </w:r>
        <w:r>
          <w:rPr>
            <w:noProof/>
            <w:webHidden/>
          </w:rPr>
          <w:tab/>
        </w:r>
        <w:r>
          <w:rPr>
            <w:noProof/>
            <w:webHidden/>
          </w:rPr>
          <w:fldChar w:fldCharType="begin"/>
        </w:r>
        <w:r>
          <w:rPr>
            <w:noProof/>
            <w:webHidden/>
          </w:rPr>
          <w:instrText xml:space="preserve"> PAGEREF _Toc131516887 \h </w:instrText>
        </w:r>
        <w:r>
          <w:rPr>
            <w:noProof/>
            <w:webHidden/>
          </w:rPr>
        </w:r>
        <w:r>
          <w:rPr>
            <w:noProof/>
            <w:webHidden/>
          </w:rPr>
          <w:fldChar w:fldCharType="separate"/>
        </w:r>
        <w:r>
          <w:rPr>
            <w:noProof/>
            <w:webHidden/>
          </w:rPr>
          <w:t>24</w:t>
        </w:r>
        <w:r>
          <w:rPr>
            <w:noProof/>
            <w:webHidden/>
          </w:rPr>
          <w:fldChar w:fldCharType="end"/>
        </w:r>
      </w:hyperlink>
    </w:p>
    <w:p w14:paraId="44F70557" w14:textId="57BA7A1A"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8" w:history="1">
        <w:r w:rsidRPr="006020B7">
          <w:rPr>
            <w:rStyle w:val="Hyperlink"/>
            <w:noProof/>
            <w:lang w:val="en-US"/>
          </w:rPr>
          <w:t>Figure 6: Perceived reliability of vignette in pilot study of replication study</w:t>
        </w:r>
        <w:r>
          <w:rPr>
            <w:noProof/>
            <w:webHidden/>
          </w:rPr>
          <w:tab/>
        </w:r>
        <w:r>
          <w:rPr>
            <w:noProof/>
            <w:webHidden/>
          </w:rPr>
          <w:fldChar w:fldCharType="begin"/>
        </w:r>
        <w:r>
          <w:rPr>
            <w:noProof/>
            <w:webHidden/>
          </w:rPr>
          <w:instrText xml:space="preserve"> PAGEREF _Toc131516888 \h </w:instrText>
        </w:r>
        <w:r>
          <w:rPr>
            <w:noProof/>
            <w:webHidden/>
          </w:rPr>
        </w:r>
        <w:r>
          <w:rPr>
            <w:noProof/>
            <w:webHidden/>
          </w:rPr>
          <w:fldChar w:fldCharType="separate"/>
        </w:r>
        <w:r>
          <w:rPr>
            <w:noProof/>
            <w:webHidden/>
          </w:rPr>
          <w:t>31</w:t>
        </w:r>
        <w:r>
          <w:rPr>
            <w:noProof/>
            <w:webHidden/>
          </w:rPr>
          <w:fldChar w:fldCharType="end"/>
        </w:r>
      </w:hyperlink>
    </w:p>
    <w:p w14:paraId="5394BF4F" w14:textId="55D6B054"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9" w:history="1">
        <w:r w:rsidRPr="006020B7">
          <w:rPr>
            <w:rStyle w:val="Hyperlink"/>
            <w:noProof/>
            <w:lang w:val="en-US"/>
          </w:rPr>
          <w:t>Figure 7: Participants in pilot study of replication study favor enforcement-oriented measurements overall.</w:t>
        </w:r>
        <w:r>
          <w:rPr>
            <w:noProof/>
            <w:webHidden/>
          </w:rPr>
          <w:tab/>
        </w:r>
        <w:r>
          <w:rPr>
            <w:noProof/>
            <w:webHidden/>
          </w:rPr>
          <w:fldChar w:fldCharType="begin"/>
        </w:r>
        <w:r>
          <w:rPr>
            <w:noProof/>
            <w:webHidden/>
          </w:rPr>
          <w:instrText xml:space="preserve"> PAGEREF _Toc131516889 \h </w:instrText>
        </w:r>
        <w:r>
          <w:rPr>
            <w:noProof/>
            <w:webHidden/>
          </w:rPr>
        </w:r>
        <w:r>
          <w:rPr>
            <w:noProof/>
            <w:webHidden/>
          </w:rPr>
          <w:fldChar w:fldCharType="separate"/>
        </w:r>
        <w:r>
          <w:rPr>
            <w:noProof/>
            <w:webHidden/>
          </w:rPr>
          <w:t>32</w:t>
        </w:r>
        <w:r>
          <w:rPr>
            <w:noProof/>
            <w:webHidden/>
          </w:rPr>
          <w:fldChar w:fldCharType="end"/>
        </w:r>
      </w:hyperlink>
    </w:p>
    <w:p w14:paraId="0C7C1856" w14:textId="7E504AE5"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90" w:history="1">
        <w:r w:rsidRPr="006020B7">
          <w:rPr>
            <w:rStyle w:val="Hyperlink"/>
            <w:noProof/>
          </w:rPr>
          <w:t>Figure 8: Participants' categorized responses in pilot study of replication study.</w:t>
        </w:r>
        <w:r>
          <w:rPr>
            <w:noProof/>
            <w:webHidden/>
          </w:rPr>
          <w:tab/>
        </w:r>
        <w:r>
          <w:rPr>
            <w:noProof/>
            <w:webHidden/>
          </w:rPr>
          <w:fldChar w:fldCharType="begin"/>
        </w:r>
        <w:r>
          <w:rPr>
            <w:noProof/>
            <w:webHidden/>
          </w:rPr>
          <w:instrText xml:space="preserve"> PAGEREF _Toc131516890 \h </w:instrText>
        </w:r>
        <w:r>
          <w:rPr>
            <w:noProof/>
            <w:webHidden/>
          </w:rPr>
        </w:r>
        <w:r>
          <w:rPr>
            <w:noProof/>
            <w:webHidden/>
          </w:rPr>
          <w:fldChar w:fldCharType="separate"/>
        </w:r>
        <w:r>
          <w:rPr>
            <w:noProof/>
            <w:webHidden/>
          </w:rPr>
          <w:t>33</w:t>
        </w:r>
        <w:r>
          <w:rPr>
            <w:noProof/>
            <w:webHidden/>
          </w:rPr>
          <w:fldChar w:fldCharType="end"/>
        </w:r>
      </w:hyperlink>
    </w:p>
    <w:p w14:paraId="706DCF96" w14:textId="0FBE5E88"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5B7F12BA" w14:textId="77777777" w:rsidR="00B61E83" w:rsidRPr="00423D87" w:rsidRDefault="00B61E83" w:rsidP="00F13FB4">
      <w:pPr>
        <w:spacing w:after="0" w:line="360" w:lineRule="auto"/>
        <w:jc w:val="both"/>
        <w:rPr>
          <w:rFonts w:cs="Arial"/>
          <w:szCs w:val="24"/>
          <w:lang w:val="en-US"/>
        </w:rPr>
      </w:pPr>
    </w:p>
    <w:p w14:paraId="1A6F992E" w14:textId="77777777" w:rsidR="00B61E83" w:rsidRPr="00423D87" w:rsidRDefault="00B61E83" w:rsidP="00F13FB4">
      <w:pPr>
        <w:spacing w:after="0" w:line="360" w:lineRule="auto"/>
        <w:jc w:val="both"/>
        <w:rPr>
          <w:rFonts w:cs="Arial"/>
          <w:szCs w:val="24"/>
          <w:lang w:val="en-US"/>
        </w:rPr>
      </w:pPr>
    </w:p>
    <w:p w14:paraId="264F1733" w14:textId="34FE4A27" w:rsidR="00F13FB4" w:rsidRPr="00423D87" w:rsidRDefault="00F13FB4" w:rsidP="00F13FB4">
      <w:pPr>
        <w:spacing w:after="0" w:line="360" w:lineRule="auto"/>
        <w:jc w:val="both"/>
        <w:rPr>
          <w:rFonts w:cs="Arial"/>
          <w:szCs w:val="24"/>
          <w:lang w:val="en-US"/>
        </w:rPr>
      </w:pPr>
      <w:r w:rsidRPr="00423D87">
        <w:rPr>
          <w:rFonts w:cs="Arial"/>
          <w:szCs w:val="24"/>
          <w:lang w:val="en-US"/>
        </w:rPr>
        <w:t xml:space="preserve">The aim of the follow-up study was to examine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16922"/>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47914A22"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 2010).</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decision-making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76EF1D1A"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Additionally, we test hypothesis (2) that participants’ political affiliation influences their responses, and hypothesis (3) that metaphor-framing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16923"/>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16924"/>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16925"/>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74D4AF1B" w14:textId="2A143A67" w:rsidR="00594D3D" w:rsidRPr="00423D87" w:rsidRDefault="00594D3D"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423D87">
          <w:rPr>
            <w:rStyle w:val="Hyperlink"/>
            <w:rFonts w:cs="Arial"/>
            <w:szCs w:val="24"/>
            <w:lang w:val="en-US"/>
          </w:rPr>
          <w:t>https://tinyurl.com/mr4vky58</w:t>
        </w:r>
      </w:hyperlink>
      <w:r w:rsidRPr="00423D87">
        <w:rPr>
          <w:rFonts w:cs="Arial"/>
          <w:szCs w:val="24"/>
          <w:lang w:val="en-US"/>
        </w:rPr>
        <w:t>.</w:t>
      </w:r>
    </w:p>
    <w:p w14:paraId="1E4E88FC" w14:textId="046D392C"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Participants’ answers and their categorizations </w:t>
      </w:r>
      <w:r w:rsidR="00064C5C">
        <w:rPr>
          <w:lang w:val="en-US"/>
        </w:rPr>
        <w:t xml:space="preserve">can be found here: </w:t>
      </w:r>
      <w:hyperlink r:id="rId9" w:history="1">
        <w:r w:rsidR="00064C5C" w:rsidRPr="004A5C74">
          <w:rPr>
            <w:rStyle w:val="Hyperlink"/>
            <w:lang w:val="en-US"/>
          </w:rPr>
          <w:t>https://tinyurl.com/bdexsaz7</w:t>
        </w:r>
      </w:hyperlink>
      <w:r w:rsidRPr="00423D87">
        <w:rPr>
          <w:lang w:val="en-US"/>
        </w:rPr>
        <w:t xml:space="preserve">.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77777777"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10" w:history="1">
        <w:r w:rsidRPr="00423D87">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 The code for the analysis can be found here: </w:t>
      </w:r>
      <w:hyperlink r:id="rId11" w:history="1">
        <w:r w:rsidRPr="00423D87">
          <w:rPr>
            <w:rStyle w:val="Hyperlink"/>
            <w:rFonts w:cs="Arial"/>
            <w:szCs w:val="24"/>
            <w:lang w:val="en-US"/>
          </w:rPr>
          <w:t>https://tinyurl.com/yczvyjy3</w:t>
        </w:r>
      </w:hyperlink>
      <w:r w:rsidRPr="00423D87">
        <w:rPr>
          <w:rFonts w:cs="Arial"/>
          <w:szCs w:val="24"/>
          <w:lang w:val="en-US"/>
        </w:rPr>
        <w:t>.</w:t>
      </w:r>
    </w:p>
    <w:p w14:paraId="3A56E13F" w14:textId="593F67F4" w:rsidR="00594D3D" w:rsidRPr="00423D87" w:rsidRDefault="00594D3D" w:rsidP="00594D3D">
      <w:pPr>
        <w:spacing w:after="0" w:line="360" w:lineRule="auto"/>
        <w:ind w:firstLine="567"/>
        <w:jc w:val="both"/>
        <w:rPr>
          <w:rFonts w:cs="Arial"/>
          <w:color w:val="FF0000"/>
          <w:szCs w:val="24"/>
          <w:lang w:val="en-US"/>
        </w:rPr>
      </w:pPr>
      <w:r w:rsidRPr="00423D87">
        <w:rPr>
          <w:rFonts w:cs="Arial"/>
          <w:szCs w:val="24"/>
          <w:lang w:val="en-US"/>
        </w:rPr>
        <w:lastRenderedPageBreak/>
        <w:t>The preregistered study design is based on a pilot study that was completed by a</w:t>
      </w:r>
      <w:r w:rsidRPr="00423D87">
        <w:rPr>
          <w:lang w:val="en-US"/>
        </w:rPr>
        <w:t xml:space="preserve"> total of 60 participants. Participants’ answers as well as the findings of the pilot study can be </w:t>
      </w:r>
      <w:r w:rsidR="00064C5C">
        <w:rPr>
          <w:lang w:val="en-US"/>
        </w:rPr>
        <w:t xml:space="preserve">found here: </w:t>
      </w:r>
      <w:hyperlink r:id="rId12" w:history="1">
        <w:r w:rsidR="00064C5C" w:rsidRPr="004A5C74">
          <w:rPr>
            <w:rStyle w:val="Hyperlink"/>
            <w:lang w:val="en-US"/>
          </w:rPr>
          <w:t>https://tinyurl.com/9rj4ya2j</w:t>
        </w:r>
      </w:hyperlink>
      <w:r w:rsidRPr="00423D87">
        <w:rPr>
          <w:lang w:val="en-US"/>
        </w:rPr>
        <w:t>.</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16926"/>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xml:space="preserve">, of whom </w:t>
      </w:r>
      <w:r w:rsidR="00303D24" w:rsidRPr="00423D87">
        <w:rPr>
          <w:lang w:val="en-US"/>
        </w:rPr>
        <w:t xml:space="preserve">92 </w:t>
      </w:r>
      <w:r w:rsidR="00303D24" w:rsidRPr="00423D87">
        <w:rPr>
          <w:lang w:val="en-US"/>
        </w:rPr>
        <w:t xml:space="preserve">(46.0%) identified as </w:t>
      </w:r>
      <w:r w:rsidR="00303D24" w:rsidRPr="00423D87">
        <w:rPr>
          <w:lang w:val="en-US"/>
        </w:rPr>
        <w:t xml:space="preserve">females, 102 </w:t>
      </w:r>
      <w:r w:rsidR="00303D24" w:rsidRPr="00423D87">
        <w:rPr>
          <w:lang w:val="en-US"/>
        </w:rPr>
        <w:t xml:space="preserve">(51.0%) as </w:t>
      </w:r>
      <w:r w:rsidR="00303D24" w:rsidRPr="00423D87">
        <w:rPr>
          <w:lang w:val="en-US"/>
        </w:rPr>
        <w:t xml:space="preserve">males, 3 </w:t>
      </w:r>
      <w:r w:rsidR="00303D24" w:rsidRPr="00423D87">
        <w:rPr>
          <w:lang w:val="en-US"/>
        </w:rPr>
        <w:t xml:space="preserve">(1.5%) as </w:t>
      </w:r>
      <w:r w:rsidR="00303D24" w:rsidRPr="00423D87">
        <w:rPr>
          <w:lang w:val="en-US"/>
        </w:rPr>
        <w:t>other</w:t>
      </w:r>
      <w:r w:rsidR="00303D24" w:rsidRPr="00423D87">
        <w:rPr>
          <w:lang w:val="en-US"/>
        </w:rPr>
        <w:t xml:space="preserve"> and 3 (1.5%) </w:t>
      </w:r>
      <w:r w:rsidR="00303D24" w:rsidRPr="00423D87">
        <w:rPr>
          <w:lang w:val="en-US"/>
        </w:rPr>
        <w:lastRenderedPageBreak/>
        <w:t>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3"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16927"/>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4">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4C32C00" w:rsidR="00577A9A" w:rsidRPr="00423D87" w:rsidRDefault="00577A9A" w:rsidP="00996F68">
      <w:pPr>
        <w:pStyle w:val="Beschriftung"/>
        <w:framePr w:wrap="around"/>
        <w:rPr>
          <w:lang w:val="en-US"/>
        </w:rPr>
      </w:pPr>
      <w:bookmarkStart w:id="6" w:name="_Toc13151688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24D758A7" w:rsidR="00577A9A" w:rsidRPr="00423D87" w:rsidRDefault="00577A9A" w:rsidP="00996F68">
      <w:pPr>
        <w:pStyle w:val="Beschriftung"/>
        <w:framePr w:wrap="around"/>
        <w:rPr>
          <w:b w:val="0"/>
          <w:bCs w:val="0"/>
          <w:lang w:val="en-US"/>
        </w:rPr>
      </w:pPr>
      <w:bookmarkStart w:id="7" w:name="_Toc131516884"/>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2</w:t>
      </w:r>
      <w:r w:rsidRPr="00423D87">
        <w:rPr>
          <w:noProof/>
          <w:lang w:val="en-US"/>
        </w:rPr>
        <w:fldChar w:fldCharType="end"/>
      </w:r>
      <w:r w:rsidRPr="00423D87">
        <w:rPr>
          <w:lang w:val="en-US"/>
        </w:rPr>
        <w:t xml:space="preserve">: </w:t>
      </w:r>
      <w:r w:rsidRPr="00423D87">
        <w:rPr>
          <w:b w:val="0"/>
          <w:bCs w:val="0"/>
          <w:lang w:val="en-US"/>
        </w:rPr>
        <w:t>Participants’ responses are influenced by the metaphorical framing of the description as well as their political affiliations.</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423D87">
        <w:rPr>
          <w:rFonts w:cs="Arial"/>
          <w:szCs w:val="24"/>
          <w:lang w:val="en-US"/>
        </w:rPr>
        <w:t>0.6</w:t>
      </w:r>
      <w:r w:rsidR="002175DD" w:rsidRPr="00423D87">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is </w:t>
      </w:r>
      <w:r w:rsidR="003E5D9F" w:rsidRPr="00423D87">
        <w:rPr>
          <w:rStyle w:val="pl-c"/>
          <w:lang w:val="en-US"/>
        </w:rPr>
        <w:t>0.99.</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2B3F2922"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 </w:t>
      </w:r>
      <w:r w:rsidRPr="00423D87">
        <w:rPr>
          <w:rFonts w:cs="Arial"/>
          <w:szCs w:val="24"/>
          <w:lang w:val="en-US"/>
        </w:rPr>
        <w:t xml:space="preserve">4.8 in the long vignette condition and </w:t>
      </w:r>
      <w:r w:rsidRPr="00423D87">
        <w:rPr>
          <w:rFonts w:cs="Arial"/>
          <w:i/>
          <w:szCs w:val="24"/>
          <w:lang w:val="en-US"/>
        </w:rPr>
        <w:t xml:space="preserve">r = </w:t>
      </w:r>
      <w:r w:rsidRPr="00423D87">
        <w:rPr>
          <w:rFonts w:cs="Arial"/>
          <w:szCs w:val="24"/>
          <w:lang w:val="en-US"/>
        </w:rPr>
        <w:t>5.1 in the short vignette condition), although the results reveal that the variation is rather high (</w:t>
      </w:r>
      <w:r w:rsidRPr="00423D87">
        <w:rPr>
          <w:rStyle w:val="hgkelc"/>
          <w:i/>
          <w:iCs/>
          <w:lang w:val="en-US"/>
        </w:rPr>
        <w:t>σ</w:t>
      </w:r>
      <w:r w:rsidRPr="00423D87">
        <w:rPr>
          <w:rFonts w:cs="Arial"/>
          <w:szCs w:val="24"/>
          <w:lang w:val="en-US"/>
        </w:rPr>
        <w:t xml:space="preserve"> = 1.5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6">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0D765246" w:rsidR="00577A9A" w:rsidRPr="00423D87" w:rsidRDefault="00996F68" w:rsidP="00996F68">
      <w:pPr>
        <w:pStyle w:val="Beschriftung"/>
        <w:framePr w:wrap="around"/>
        <w:rPr>
          <w:lang w:val="en-US"/>
        </w:rPr>
      </w:pPr>
      <w:bookmarkStart w:id="8" w:name="_Toc131516885"/>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423D87">
        <w:rPr>
          <w:rFonts w:cs="Arial"/>
          <w:szCs w:val="24"/>
          <w:lang w:val="en-US"/>
        </w:rPr>
        <w:t xml:space="preserve">0.82.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16928"/>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16929"/>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45607887" w14:textId="12CB5C9B" w:rsidR="00B436CF"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17" w:history="1">
        <w:r w:rsidR="00B436CF" w:rsidRPr="004A5C74">
          <w:rPr>
            <w:rStyle w:val="Hyperlink"/>
            <w:lang w:val="en-US"/>
          </w:rPr>
          <w:t>https://tinyurl.com/5etvk8h4</w:t>
        </w:r>
      </w:hyperlink>
      <w:r w:rsidR="00B436CF">
        <w:rPr>
          <w:lang w:val="en-US"/>
        </w:rPr>
        <w:t>.</w:t>
      </w:r>
    </w:p>
    <w:p w14:paraId="02150FE1" w14:textId="4E58FAE5"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w:t>
      </w:r>
      <w:r w:rsidR="002E02B9" w:rsidRPr="00423D87">
        <w:rPr>
          <w:lang w:val="en-US"/>
        </w:rPr>
        <w:lastRenderedPageBreak/>
        <w:t xml:space="preserv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xml:space="preserve">. Participants’ answers and their categorizations </w:t>
      </w:r>
      <w:r w:rsidR="00F468E2">
        <w:rPr>
          <w:lang w:val="en-US"/>
        </w:rPr>
        <w:t xml:space="preserve">can be found here: </w:t>
      </w:r>
      <w:hyperlink r:id="rId18" w:history="1">
        <w:r w:rsidR="00F468E2" w:rsidRPr="004A5C74">
          <w:rPr>
            <w:rStyle w:val="Hyperlink"/>
            <w:lang w:val="en-US"/>
          </w:rPr>
          <w:t>https://tinyurl.com/2p9yv4h2</w:t>
        </w:r>
      </w:hyperlink>
      <w:r w:rsidR="002E02B9" w:rsidRPr="00423D87">
        <w:rPr>
          <w:lang w:val="en-US"/>
        </w:rPr>
        <w:t>.</w:t>
      </w:r>
      <w:r w:rsidRPr="00423D87">
        <w:rPr>
          <w:lang w:val="en-US"/>
        </w:rPr>
        <w:t xml:space="preserve"> 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4EE96706" w14:textId="024F1DAC" w:rsidR="00F468E2"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9"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The code for the analysis can be found here: </w:t>
      </w:r>
      <w:hyperlink r:id="rId20" w:history="1">
        <w:r w:rsidR="00F468E2" w:rsidRPr="004A5C74">
          <w:rPr>
            <w:rStyle w:val="Hyperlink"/>
            <w:rFonts w:cs="Arial"/>
            <w:szCs w:val="24"/>
            <w:lang w:val="en-US"/>
          </w:rPr>
          <w:t>https://tinyurl.com/mrs64w68</w:t>
        </w:r>
      </w:hyperlink>
      <w:r w:rsidR="00F468E2" w:rsidRPr="00F468E2">
        <w:rPr>
          <w:rFonts w:cs="Arial"/>
          <w:szCs w:val="24"/>
          <w:lang w:val="en-US"/>
        </w:rPr>
        <w:t>.</w:t>
      </w:r>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16930"/>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21"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 xml:space="preserve">only participants who self-identified as native English speakers based in the US were </w:t>
      </w:r>
      <w:r w:rsidR="002E02B9" w:rsidRPr="00423D87">
        <w:rPr>
          <w:lang w:val="en-US"/>
        </w:rPr>
        <w:lastRenderedPageBreak/>
        <w:t>recruited. Every participant was allowed to participate only once and was paid for their participation.</w:t>
      </w:r>
    </w:p>
    <w:p w14:paraId="28CD0D18" w14:textId="10C49FFC" w:rsidR="00F468E2" w:rsidRPr="00423D87" w:rsidRDefault="00650144" w:rsidP="007A68CD">
      <w:pPr>
        <w:spacing w:after="0" w:line="360" w:lineRule="auto"/>
        <w:ind w:firstLine="567"/>
        <w:jc w:val="both"/>
        <w:rPr>
          <w:lang w:val="en-US"/>
        </w:rPr>
      </w:pPr>
      <w:r w:rsidRPr="00423D87">
        <w:rPr>
          <w:lang w:val="en-US"/>
        </w:rPr>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22" w:history="1">
        <w:r w:rsidR="00F468E2" w:rsidRPr="004A5C74">
          <w:rPr>
            <w:rStyle w:val="Hyperlink"/>
            <w:lang w:val="en-US"/>
          </w:rPr>
          <w:t>https://tinyurl.com/5f6r59c5</w:t>
        </w:r>
      </w:hyperlink>
      <w:r w:rsidR="00F468E2">
        <w:rPr>
          <w:lang w:val="en-US"/>
        </w:rPr>
        <w:t>.</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16931"/>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179A7C17" w:rsidR="00375336" w:rsidRPr="00423D87" w:rsidRDefault="00375336" w:rsidP="00DF195B">
      <w:pPr>
        <w:pStyle w:val="Beschriftung"/>
        <w:framePr w:w="7835" w:wrap="around"/>
        <w:rPr>
          <w:rFonts w:cs="Arial"/>
          <w:color w:val="FF0000"/>
          <w:szCs w:val="24"/>
          <w:lang w:val="en-US"/>
        </w:rPr>
      </w:pPr>
      <w:bookmarkStart w:id="13" w:name="_Toc131516886"/>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4</w:t>
      </w:r>
      <w:r w:rsidRPr="00423D87">
        <w:rPr>
          <w:lang w:val="en-US"/>
        </w:rPr>
        <w:fldChar w:fldCharType="end"/>
      </w:r>
      <w:r w:rsidRPr="00423D87">
        <w:rPr>
          <w:lang w:val="en-US"/>
        </w:rPr>
        <w:t xml:space="preserve">: </w:t>
      </w:r>
      <w:r w:rsidRPr="00423D87">
        <w:rPr>
          <w:b w:val="0"/>
          <w:bCs w:val="0"/>
          <w:lang w:val="en-US"/>
        </w:rPr>
        <w:t xml:space="preserve">Participants’ responses </w:t>
      </w:r>
      <w:r w:rsidR="006D1C32" w:rsidRPr="00423D87">
        <w:rPr>
          <w:b w:val="0"/>
          <w:bCs w:val="0"/>
          <w:lang w:val="en-US"/>
        </w:rPr>
        <w:t>divided according to metaphorical frame and reliability of the speaker</w:t>
      </w:r>
      <w:r w:rsidR="00DF195B" w:rsidRPr="00423D87">
        <w:rPr>
          <w:b w:val="0"/>
          <w:bCs w:val="0"/>
          <w:lang w:val="en-US"/>
        </w:rPr>
        <w:t>.</w:t>
      </w:r>
      <w:bookmarkEnd w:id="13"/>
      <w:r w:rsidR="00DF195B" w:rsidRPr="00423D87">
        <w:rPr>
          <w:b w:val="0"/>
          <w:bCs w:val="0"/>
          <w:lang w:val="en-US"/>
        </w:rPr>
        <w:t xml:space="preserve"> </w:t>
      </w:r>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699903D3" w14:textId="544DE6A4" w:rsidR="0004047B" w:rsidRPr="00423D87" w:rsidRDefault="0004047B" w:rsidP="00375336">
      <w:pPr>
        <w:spacing w:after="0" w:line="360" w:lineRule="auto"/>
        <w:ind w:firstLine="567"/>
        <w:jc w:val="both"/>
        <w:rPr>
          <w:rFonts w:cs="Arial"/>
          <w:szCs w:val="24"/>
          <w:lang w:val="en-US"/>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p>
    <w:p w14:paraId="49FDF7C8" w14:textId="77777777" w:rsidR="00F13FB4" w:rsidRPr="00423D87" w:rsidRDefault="00F13FB4" w:rsidP="0004047B">
      <w:pPr>
        <w:spacing w:after="0" w:line="360" w:lineRule="auto"/>
        <w:jc w:val="both"/>
        <w:rPr>
          <w:rFonts w:cs="Arial"/>
          <w:color w:val="FF0000"/>
          <w:szCs w:val="24"/>
          <w:lang w:val="en-US"/>
        </w:rPr>
      </w:pPr>
    </w:p>
    <w:p w14:paraId="662C5CFE" w14:textId="2DB14C57" w:rsidR="00BC7A9F" w:rsidRPr="00423D87" w:rsidRDefault="00085A51" w:rsidP="00BC7A9F">
      <w:pPr>
        <w:pStyle w:val="berschrift1"/>
        <w:rPr>
          <w:lang w:val="en-US"/>
        </w:rPr>
      </w:pPr>
      <w:bookmarkStart w:id="14" w:name="_Toc131516932"/>
      <w:r w:rsidRPr="00423D87">
        <w:rPr>
          <w:lang w:val="en-US"/>
        </w:rPr>
        <w:t>5</w:t>
      </w:r>
      <w:r w:rsidR="00BC7A9F" w:rsidRPr="00423D87">
        <w:rPr>
          <w:lang w:val="en-US"/>
        </w:rPr>
        <w:t>. Discussion</w:t>
      </w:r>
      <w:bookmarkEnd w:id="14"/>
    </w:p>
    <w:p w14:paraId="273BBD89" w14:textId="5F8B23B3" w:rsidR="00AF6FB9" w:rsidRPr="00423D87"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Additionally, measurement errors, biases, </w:t>
      </w:r>
      <w:r w:rsidR="00C32131" w:rsidRPr="00423D87">
        <w:rPr>
          <w:rFonts w:cs="Arial"/>
          <w:iCs/>
          <w:szCs w:val="24"/>
          <w:lang w:val="en-US"/>
        </w:rPr>
        <w:t xml:space="preserve">unexpected findings </w:t>
      </w:r>
      <w:r w:rsidRPr="00423D87">
        <w:rPr>
          <w:rFonts w:cs="Arial"/>
          <w:iCs/>
          <w:szCs w:val="24"/>
          <w:lang w:val="en-US"/>
        </w:rPr>
        <w:t>and potential future research are discussed.</w:t>
      </w:r>
    </w:p>
    <w:p w14:paraId="0467C519" w14:textId="11C79B86" w:rsidR="003F488C" w:rsidRPr="00423D87" w:rsidRDefault="003F488C" w:rsidP="0037205B">
      <w:pPr>
        <w:spacing w:after="0" w:line="360" w:lineRule="auto"/>
        <w:jc w:val="both"/>
        <w:rPr>
          <w:rFonts w:cs="Arial"/>
          <w:szCs w:val="24"/>
          <w:lang w:val="en-US"/>
        </w:rPr>
      </w:pPr>
      <w:r w:rsidRPr="00423D87">
        <w:rPr>
          <w:rFonts w:cs="Arial"/>
          <w:iCs/>
          <w:szCs w:val="24"/>
          <w:lang w:val="en-US"/>
        </w:rPr>
        <w:tab/>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 xml:space="preserve">for the effect of metaphors on the choice of crime-reducing suggestions. Interestingly, as summarized in chapter 2, the only studies that could replicate said effect were conducted by at least one of the two co-authors of the original study by Thibodeau &amp; Boroditsky (2011), while other replication studies found no such effect. The only exception is Christmann &amp; Göhring (2016). </w:t>
      </w:r>
      <w:r w:rsidR="00487DA2" w:rsidRPr="00423D87">
        <w:rPr>
          <w:rFonts w:eastAsiaTheme="minorEastAsia" w:cs="Arial"/>
          <w:szCs w:val="24"/>
          <w:lang w:val="en-US"/>
        </w:rPr>
        <w:t xml:space="preserve">However, while they </w:t>
      </w:r>
      <w:r w:rsidRPr="00423D87">
        <w:rPr>
          <w:rFonts w:cs="Arial"/>
          <w:szCs w:val="24"/>
          <w:lang w:val="en-US"/>
        </w:rPr>
        <w:t xml:space="preserve">conclude that </w:t>
      </w:r>
      <w:r w:rsidR="00487DA2" w:rsidRPr="00423D87">
        <w:rPr>
          <w:rFonts w:cs="Arial"/>
          <w:szCs w:val="24"/>
          <w:lang w:val="en-US"/>
        </w:rPr>
        <w:t>their results replicate said effect</w:t>
      </w:r>
      <w:r w:rsidRPr="00423D87">
        <w:rPr>
          <w:rFonts w:cs="Arial"/>
          <w:szCs w:val="24"/>
          <w:lang w:val="en-US"/>
        </w:rPr>
        <w:t>, the coding of answers differed, as described in more detail in chapter 2.</w:t>
      </w:r>
      <w:r w:rsidR="00487DA2" w:rsidRPr="00423D87">
        <w:rPr>
          <w:rFonts w:cs="Arial"/>
          <w:szCs w:val="24"/>
          <w:lang w:val="en-US"/>
        </w:rPr>
        <w:t xml:space="preserve"> They admit that “conducting the analysis in full accordance with the original procedure[,] this difference was not statistically meaningful” (ibid.).</w:t>
      </w:r>
    </w:p>
    <w:p w14:paraId="7FD2BC33" w14:textId="5BEAC32E" w:rsidR="008E6500" w:rsidRPr="00423D87" w:rsidRDefault="008E6500" w:rsidP="0037205B">
      <w:pPr>
        <w:spacing w:after="0" w:line="360" w:lineRule="auto"/>
        <w:jc w:val="both"/>
        <w:rPr>
          <w:rFonts w:cs="Arial"/>
          <w:szCs w:val="24"/>
          <w:lang w:val="en-US"/>
        </w:rPr>
      </w:pPr>
      <w:r w:rsidRPr="00423D87">
        <w:rPr>
          <w:rFonts w:cs="Arial"/>
          <w:szCs w:val="24"/>
          <w:lang w:val="en-US"/>
        </w:rPr>
        <w:tab/>
        <w:t>In contrary, our results provide evidence for the second hypothesis that Republicans are more likely to propose enforcement-oriented suggestions, as claimed in the original study. This effect could be replicated in previous studies as well, including Reijnierse et al. (2015), who did not find the metaphor-framing effect but the effect of political affiliation as well.</w:t>
      </w:r>
    </w:p>
    <w:p w14:paraId="7611F498" w14:textId="55EB4D7E" w:rsidR="00D553C3" w:rsidRPr="00423D87" w:rsidRDefault="008E6500" w:rsidP="0037205B">
      <w:pPr>
        <w:spacing w:after="0" w:line="360" w:lineRule="auto"/>
        <w:jc w:val="both"/>
        <w:rPr>
          <w:rFonts w:cs="Arial"/>
          <w:szCs w:val="24"/>
          <w:lang w:val="en-US"/>
        </w:rPr>
      </w:pPr>
      <w:r w:rsidRPr="00423D87">
        <w:rPr>
          <w:rFonts w:cs="Arial"/>
          <w:szCs w:val="24"/>
          <w:lang w:val="en-US"/>
        </w:rPr>
        <w:tab/>
        <w:t>Regarding our last hypnosis, we used</w:t>
      </w:r>
      <w:r w:rsidR="00D553C3" w:rsidRPr="00423D87">
        <w:rPr>
          <w:rFonts w:eastAsiaTheme="minorEastAsia" w:cs="Arial"/>
          <w:szCs w:val="24"/>
          <w:lang w:val="en-US"/>
        </w:rPr>
        <w:t xml:space="preserve"> two speakers that are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on the metaphor-framing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proposed by </w:t>
      </w:r>
      <w:r w:rsidR="00CD5557" w:rsidRPr="00423D87">
        <w:rPr>
          <w:rFonts w:eastAsiaTheme="minorEastAsia" w:cs="Arial"/>
          <w:szCs w:val="24"/>
          <w:lang w:val="en-US"/>
        </w:rPr>
        <w:t>Thibodeau &amp; Boroditsky (2011),</w:t>
      </w:r>
      <w:r w:rsidR="00D553C3" w:rsidRPr="00423D87">
        <w:rPr>
          <w:rFonts w:eastAsiaTheme="minorEastAsia" w:cs="Arial"/>
          <w:szCs w:val="24"/>
          <w:lang w:val="en-US"/>
        </w:rPr>
        <w:t xml:space="preserve"> even subtle metaphors can influence how we reason about a particular issue. However, little research has been conducted regarding the question how exactly this effect is established. On the one hand, one could say that using a certain metaphor causes the hearer to associate the issue with the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of said metaphor. </w:t>
      </w:r>
      <w:r w:rsidR="006E6172" w:rsidRPr="00423D87">
        <w:rPr>
          <w:rFonts w:eastAsiaTheme="minorEastAsia" w:cs="Arial"/>
          <w:szCs w:val="24"/>
          <w:lang w:val="en-US"/>
        </w:rPr>
        <w:t xml:space="preserve">That is, the activation of representations for solving an infection with a virus or an attack by a beast are 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 xml:space="preserve">phoric word itself that influences how the hearer reasons about the issue </w:t>
      </w:r>
      <w:r w:rsidR="00152338" w:rsidRPr="00423D87">
        <w:rPr>
          <w:rFonts w:eastAsiaTheme="minorEastAsia" w:cs="Arial"/>
          <w:szCs w:val="24"/>
          <w:lang w:val="en-US"/>
        </w:rPr>
        <w:lastRenderedPageBreak/>
        <w:t xml:space="preserve">by activation certain associations. Therefore, </w:t>
      </w:r>
      <w:r w:rsidR="00D553C3" w:rsidRPr="00423D87">
        <w:rPr>
          <w:rFonts w:eastAsiaTheme="minorEastAsia" w:cs="Arial"/>
          <w:szCs w:val="24"/>
          <w:lang w:val="en-US"/>
        </w:rPr>
        <w:t>the context in which the metaphor was uttered is irrelevant to how influential the metaphor is</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152338" w:rsidRPr="00423D87">
        <w:rPr>
          <w:rFonts w:eastAsiaTheme="minorEastAsia" w:cs="Arial"/>
          <w:szCs w:val="24"/>
          <w:lang w:val="en-US"/>
        </w:rPr>
        <w:t>using the metaphor several times increases the influence that the metaphor exerts.</w:t>
      </w:r>
    </w:p>
    <w:p w14:paraId="61E23700" w14:textId="2A455222"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on could say that using a certain metaphor does not necessarily cause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Instead, the influence of the metaphor varies with the context. That is, if the speaker seems reliable, the hearer concludes that the metaphor best describes the problem and thus, allowing the hearer to 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In contrast, if the hearer does not seem reliable, the hearer does not believe that metaphor suits the problem and therefore, rejects the </w:t>
      </w:r>
      <w:r w:rsidR="006E6172" w:rsidRPr="00423D87">
        <w:rPr>
          <w:rFonts w:eastAsiaTheme="minorEastAsia" w:cs="Arial"/>
          <w:szCs w:val="24"/>
          <w:lang w:val="en-US"/>
        </w:rPr>
        <w:t>associations induced by the metaphorical framing of the problem</w:t>
      </w:r>
      <w:r w:rsidRPr="00423D87">
        <w:rPr>
          <w:rFonts w:eastAsiaTheme="minorEastAsia" w:cs="Arial"/>
          <w:szCs w:val="24"/>
          <w:lang w:val="en-US"/>
        </w:rPr>
        <w:t xml:space="preserve"> and is less likely to propose </w:t>
      </w:r>
      <w:r w:rsidR="006E6172" w:rsidRPr="00423D87">
        <w:rPr>
          <w:rFonts w:eastAsiaTheme="minorEastAsia" w:cs="Arial"/>
          <w:szCs w:val="24"/>
          <w:lang w:val="en-US"/>
        </w:rPr>
        <w:t>metaphor-</w:t>
      </w:r>
      <w:r w:rsidR="007A5DE6" w:rsidRPr="00423D87">
        <w:rPr>
          <w:rFonts w:eastAsiaTheme="minorEastAsia" w:cs="Arial"/>
          <w:szCs w:val="24"/>
          <w:lang w:val="en-US"/>
        </w:rPr>
        <w:t>consistent</w:t>
      </w:r>
      <w:r w:rsidR="006E6172" w:rsidRPr="00423D87">
        <w:rPr>
          <w:rFonts w:eastAsiaTheme="minorEastAsia" w:cs="Arial"/>
          <w:szCs w:val="24"/>
          <w:lang w:val="en-US"/>
        </w:rPr>
        <w:t xml:space="preserve"> </w:t>
      </w:r>
      <w:r w:rsidRPr="00423D87">
        <w:rPr>
          <w:rFonts w:eastAsiaTheme="minorEastAsia" w:cs="Arial"/>
          <w:szCs w:val="24"/>
          <w:lang w:val="en-US"/>
        </w:rPr>
        <w:t>solutions.</w:t>
      </w:r>
      <w:r w:rsidR="007A5DE6" w:rsidRPr="00423D87">
        <w:rPr>
          <w:rFonts w:eastAsiaTheme="minorEastAsia" w:cs="Arial"/>
          <w:szCs w:val="24"/>
          <w:lang w:val="en-US"/>
        </w:rPr>
        <w:t xml:space="preserve"> In this theory, hearing the metaphorically framed description of crime by a newscaster would lead hearers to prefer metaphor-consistent solutions, while this effect is less prominent in the condition with the hooligan as speaker.</w:t>
      </w:r>
    </w:p>
    <w:p w14:paraId="1AFA9712" w14:textId="26C21613" w:rsidR="00246866" w:rsidRPr="00423D87"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revealed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That raises the question if it is, indeed, only the metaphoric word itself that activates certain association, as proposed in the theory above, or if external factors might have caused the results to not reach the required threshold. In the following, therefore, several biases and measurement errors that might have occurred in the present are discussed.</w:t>
      </w:r>
      <w:r w:rsidR="00C253D8" w:rsidRPr="00423D87">
        <w:rPr>
          <w:rFonts w:eastAsiaTheme="minorEastAsia" w:cs="Arial"/>
          <w:szCs w:val="24"/>
          <w:lang w:val="en-US"/>
        </w:rPr>
        <w:t xml:space="preserve"> </w:t>
      </w:r>
    </w:p>
    <w:p w14:paraId="2A8483E5" w14:textId="4B9E2A8C" w:rsidR="008E6500" w:rsidRPr="00423D87" w:rsidRDefault="008E6500" w:rsidP="008E6500">
      <w:pPr>
        <w:spacing w:after="0" w:line="360" w:lineRule="auto"/>
        <w:jc w:val="both"/>
        <w:rPr>
          <w:rStyle w:val="hgkelc"/>
          <w:rFonts w:cs="Arial"/>
          <w:iCs/>
          <w:szCs w:val="24"/>
          <w:lang w:val="en-US"/>
        </w:rPr>
      </w:pPr>
      <w:r w:rsidRPr="00423D87">
        <w:rPr>
          <w:rFonts w:eastAsiaTheme="minorEastAsia" w:cs="Arial"/>
          <w:szCs w:val="24"/>
          <w:lang w:val="en-US"/>
        </w:rPr>
        <w:tab/>
        <w:t>First, i</w:t>
      </w:r>
      <w:r w:rsidRPr="00423D87">
        <w:rPr>
          <w:rStyle w:val="hgkelc"/>
          <w:rFonts w:cs="Arial"/>
          <w:iCs/>
          <w:szCs w:val="24"/>
          <w:lang w:val="en-US"/>
        </w:rPr>
        <w:t xml:space="preserve">t cannot be ruled out that various news stories, political discourses, and other experiences related to crime that the subjects experienced shortly before the study </w:t>
      </w:r>
      <w:r w:rsidR="001C6592" w:rsidRPr="00423D87">
        <w:rPr>
          <w:rStyle w:val="hgkelc"/>
          <w:rFonts w:cs="Arial"/>
          <w:iCs/>
          <w:szCs w:val="24"/>
          <w:lang w:val="en-US"/>
        </w:rPr>
        <w:t>have affected</w:t>
      </w:r>
      <w:r w:rsidRPr="00423D87">
        <w:rPr>
          <w:rStyle w:val="hgkelc"/>
          <w:rFonts w:cs="Arial"/>
          <w:iCs/>
          <w:szCs w:val="24"/>
          <w:lang w:val="en-US"/>
        </w:rPr>
        <w:t xml:space="preserve"> on their responses.</w:t>
      </w:r>
    </w:p>
    <w:p w14:paraId="2C691B87" w14:textId="77777777" w:rsidR="000726B8" w:rsidRPr="00423D87" w:rsidRDefault="001C6592" w:rsidP="000726B8">
      <w:pPr>
        <w:spacing w:after="0" w:line="360" w:lineRule="auto"/>
        <w:jc w:val="both"/>
        <w:rPr>
          <w:rStyle w:val="hgkelc"/>
          <w:rFonts w:cs="Arial"/>
          <w:szCs w:val="24"/>
          <w:lang w:val="en-US"/>
        </w:rPr>
      </w:pPr>
      <w:r w:rsidRPr="00423D87">
        <w:rPr>
          <w:rStyle w:val="hgkelc"/>
          <w:rFonts w:cs="Arial"/>
          <w:iCs/>
          <w:szCs w:val="24"/>
          <w:lang w:val="en-US"/>
        </w:rPr>
        <w:tab/>
        <w:t>Second, t</w:t>
      </w:r>
      <w:r w:rsidR="008E6500" w:rsidRPr="00423D87">
        <w:rPr>
          <w:rStyle w:val="hgkelc"/>
          <w:rFonts w:cs="Arial"/>
          <w:szCs w:val="24"/>
          <w:lang w:val="en-US"/>
        </w:rPr>
        <w:t xml:space="preserve">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w:t>
      </w:r>
      <w:r w:rsidR="008E6500" w:rsidRPr="00423D87">
        <w:rPr>
          <w:rStyle w:val="hgkelc"/>
          <w:rFonts w:cs="Arial"/>
          <w:szCs w:val="24"/>
          <w:lang w:val="en-US"/>
        </w:rPr>
        <w:lastRenderedPageBreak/>
        <w:t>participants changing their responses due to being observed by the researchers. This is less likely to be the case in the present study, since the answers were collected anonymously online.</w:t>
      </w:r>
    </w:p>
    <w:p w14:paraId="384A6A4E" w14:textId="42146A87" w:rsidR="000726B8" w:rsidRPr="00423D87" w:rsidRDefault="000726B8" w:rsidP="000726B8">
      <w:pPr>
        <w:spacing w:after="0" w:line="360" w:lineRule="auto"/>
        <w:ind w:firstLine="567"/>
        <w:jc w:val="both"/>
        <w:rPr>
          <w:rFonts w:cs="Arial"/>
          <w:szCs w:val="24"/>
          <w:lang w:val="en-US"/>
        </w:rPr>
      </w:pPr>
      <w:r w:rsidRPr="00423D87">
        <w:rPr>
          <w:rStyle w:val="hgkelc"/>
          <w:rFonts w:cs="Arial"/>
          <w:szCs w:val="24"/>
          <w:lang w:val="en-US"/>
        </w:rPr>
        <w:t xml:space="preserve">Next, as pointed out by </w:t>
      </w:r>
      <w:r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original study could not be replicated.</w:t>
      </w:r>
    </w:p>
    <w:p w14:paraId="41D1A11D" w14:textId="5EAEB388" w:rsidR="001C6592" w:rsidRPr="00423D87" w:rsidRDefault="001C6592" w:rsidP="001C6592">
      <w:pPr>
        <w:spacing w:after="0" w:line="360" w:lineRule="auto"/>
        <w:jc w:val="both"/>
        <w:rPr>
          <w:rStyle w:val="hgkelc"/>
          <w:rFonts w:cs="Arial"/>
          <w:szCs w:val="24"/>
          <w:lang w:val="en-US"/>
        </w:rPr>
      </w:pPr>
      <w:r w:rsidRPr="00423D87">
        <w:rPr>
          <w:rStyle w:val="hgkelc"/>
          <w:rFonts w:cs="Arial"/>
          <w:szCs w:val="24"/>
          <w:lang w:val="en-US"/>
        </w:rPr>
        <w:tab/>
      </w:r>
      <w:r w:rsidR="00AD1F76" w:rsidRPr="00423D87">
        <w:rPr>
          <w:rStyle w:val="hgkelc"/>
          <w:rFonts w:cs="Arial"/>
          <w:szCs w:val="24"/>
          <w:lang w:val="en-US"/>
        </w:rPr>
        <w:t>Moreover</w:t>
      </w:r>
      <w:r w:rsidR="000726B8" w:rsidRPr="00423D87">
        <w:rPr>
          <w:rStyle w:val="hgkelc"/>
          <w:rFonts w:cs="Arial"/>
          <w:szCs w:val="24"/>
          <w:lang w:val="en-US"/>
        </w:rPr>
        <w:t>, i</w:t>
      </w:r>
      <w:r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0CA6346A" w:rsidR="001C6592" w:rsidRPr="00423D87" w:rsidRDefault="001C6592" w:rsidP="001C6592">
      <w:pPr>
        <w:pStyle w:val="Beschriftung"/>
        <w:framePr w:wrap="around"/>
        <w:rPr>
          <w:rStyle w:val="hgkelc"/>
          <w:rFonts w:cs="Arial"/>
          <w:szCs w:val="24"/>
          <w:lang w:val="en-US"/>
        </w:rPr>
      </w:pPr>
      <w:bookmarkStart w:id="15" w:name="_Toc131516887"/>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5</w:t>
      </w:r>
      <w:r w:rsidRPr="00423D87">
        <w:rPr>
          <w:lang w:val="en-US"/>
        </w:rPr>
        <w:fldChar w:fldCharType="end"/>
      </w:r>
      <w:r w:rsidRPr="00423D87">
        <w:rPr>
          <w:lang w:val="en-US"/>
        </w:rPr>
        <w:t xml:space="preserve">: </w:t>
      </w:r>
      <w:r w:rsidRPr="00423D87">
        <w:rPr>
          <w:b w:val="0"/>
          <w:bCs w:val="0"/>
          <w:lang w:val="en-US"/>
        </w:rPr>
        <w:t>Overall preference of enforcement-oriented suggestions in the follow-up study.</w:t>
      </w:r>
      <w:bookmarkEnd w:id="15"/>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3D896BD4" w:rsidR="008E6500" w:rsidRPr="00423D87" w:rsidRDefault="001C6592" w:rsidP="00865C93">
      <w:pPr>
        <w:spacing w:after="0" w:line="360" w:lineRule="auto"/>
        <w:jc w:val="both"/>
        <w:rPr>
          <w:rFonts w:cs="Arial"/>
          <w:iCs/>
          <w:szCs w:val="24"/>
          <w:lang w:val="en-US"/>
        </w:rPr>
      </w:pPr>
      <w:r w:rsidRPr="00423D87">
        <w:rPr>
          <w:rFonts w:cs="Arial"/>
          <w:szCs w:val="24"/>
          <w:lang w:val="en-US"/>
        </w:rPr>
        <w:tab/>
        <w:t xml:space="preserve">Furthermore,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xml:space="preserve">. It </w:t>
      </w:r>
      <w:r w:rsidR="00865C93" w:rsidRPr="00423D87">
        <w:rPr>
          <w:rFonts w:cs="Arial"/>
          <w:iCs/>
          <w:szCs w:val="24"/>
          <w:lang w:val="en-US"/>
        </w:rPr>
        <w:lastRenderedPageBreak/>
        <w:t>is unclear, whether the results were the same, if those responses with the measurements in question were categorized differently.</w:t>
      </w:r>
    </w:p>
    <w:p w14:paraId="5BFA7F5A" w14:textId="08C5DF49"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Similarly, according to the original study, investigating the root cause, should be seen as reform-oriented suggestions (Thibodeau &amp; Boroditsky, 2011). However, a lot of participants’ responses did not suggest scrutinize the root of the problem but what types of crimes are committed. It can only be assumed that investigating the type of crimes implies to, as a next step, also investigate the root of those crimes but since this is only an assumption, those suggestions cannot be clearly categorized either.</w:t>
      </w:r>
    </w:p>
    <w:p w14:paraId="21C2F7CA" w14:textId="12CAA443" w:rsidR="008E6500" w:rsidRPr="00423D87" w:rsidRDefault="000726B8" w:rsidP="000726B8">
      <w:pPr>
        <w:spacing w:after="0" w:line="360" w:lineRule="auto"/>
        <w:jc w:val="both"/>
        <w:rPr>
          <w:rFonts w:cs="Arial"/>
          <w:iCs/>
          <w:szCs w:val="24"/>
          <w:lang w:val="en-US"/>
        </w:rPr>
      </w:pPr>
      <w:r w:rsidRPr="00423D87">
        <w:rPr>
          <w:rFonts w:cs="Arial"/>
          <w:iCs/>
          <w:szCs w:val="24"/>
          <w:lang w:val="en-US"/>
        </w:rPr>
        <w:tab/>
      </w:r>
      <w:r w:rsidR="00AD1F76" w:rsidRPr="00423D87">
        <w:rPr>
          <w:rFonts w:cs="Arial"/>
          <w:iCs/>
          <w:szCs w:val="24"/>
          <w:lang w:val="en-US"/>
        </w:rPr>
        <w:t>In addition</w:t>
      </w:r>
      <w:r w:rsidRPr="00423D87">
        <w:rPr>
          <w:rFonts w:cs="Arial"/>
          <w:iCs/>
          <w:szCs w:val="24"/>
          <w:lang w:val="en-US"/>
        </w:rPr>
        <w:t>, S</w:t>
      </w:r>
      <w:r w:rsidR="008E6500" w:rsidRPr="00423D87">
        <w:rPr>
          <w:rFonts w:cs="Arial"/>
          <w:iCs/>
          <w:szCs w:val="24"/>
          <w:lang w:val="en-US"/>
        </w:rPr>
        <w:t>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Since crime is a frequently discussed topic that assumingly all participants have reflected upon prior to the study, it might be that this is why we found no evidence supporting the hypothesis. However, if that is the case, then the question arises why such an effect was found in the original study by Thibodeau &amp; Boroditsky, since their experiment was regarding crime as well.</w:t>
      </w:r>
    </w:p>
    <w:p w14:paraId="2CB8DF08" w14:textId="4B50FF43" w:rsidR="000D7B8E" w:rsidRPr="00423D87" w:rsidRDefault="00C32131" w:rsidP="000D7B8E">
      <w:pPr>
        <w:spacing w:line="360" w:lineRule="auto"/>
        <w:jc w:val="both"/>
        <w:rPr>
          <w:rFonts w:cs="Arial"/>
          <w:iCs/>
          <w:szCs w:val="24"/>
          <w:lang w:val="en-US"/>
        </w:rPr>
      </w:pPr>
      <w:r w:rsidRPr="00423D87">
        <w:rPr>
          <w:rFonts w:cs="Arial"/>
          <w:iCs/>
          <w:szCs w:val="24"/>
          <w:lang w:val="en-US"/>
        </w:rPr>
        <w:tab/>
        <w:t>Besides, in the follow-up study, the m</w:t>
      </w:r>
      <w:r w:rsidR="008E6500" w:rsidRPr="00423D87">
        <w:rPr>
          <w:rFonts w:cs="Arial"/>
          <w:iCs/>
          <w:szCs w:val="24"/>
          <w:lang w:val="en-US"/>
        </w:rPr>
        <w:t xml:space="preserve">anipulation of vignettes is </w:t>
      </w:r>
      <w:r w:rsidRPr="00423D87">
        <w:rPr>
          <w:rFonts w:cs="Arial"/>
          <w:iCs/>
          <w:szCs w:val="24"/>
          <w:lang w:val="en-US"/>
        </w:rPr>
        <w:t>not reduced</w:t>
      </w:r>
      <w:r w:rsidR="008E6500" w:rsidRPr="00423D87">
        <w:rPr>
          <w:rFonts w:cs="Arial"/>
          <w:iCs/>
          <w:szCs w:val="24"/>
          <w:lang w:val="en-US"/>
        </w:rPr>
        <w:t xml:space="preserve"> </w:t>
      </w:r>
      <w:r w:rsidRPr="00423D87">
        <w:rPr>
          <w:rFonts w:cs="Arial"/>
          <w:iCs/>
          <w:szCs w:val="24"/>
          <w:lang w:val="en-US"/>
        </w:rPr>
        <w:t>to using different pictures of speakers to portrait different levels of reliability. Instead, the text in the description is slightly adjusted and the different pictures could activate certain associations that cannot be controlled for the researchers. That is, since the unreliable speaker is depicted by an obviously drunk, aggressive looking person, this might have triggered participants to propose other suggestions than would have been the case if the unreliable speaker were illustrated differently. Similarly, for the reliable speaker, we chose a newscaster. However, not all participants might consider newscaster the most reliable source for information of crime</w:t>
      </w:r>
      <w:r w:rsidR="000D7B8E" w:rsidRPr="00423D87">
        <w:rPr>
          <w:rFonts w:cs="Arial"/>
          <w:iCs/>
          <w:szCs w:val="24"/>
          <w:lang w:val="en-US"/>
        </w:rPr>
        <w:t>. For example, consider one participant’s response shown in (1).</w:t>
      </w:r>
    </w:p>
    <w:p w14:paraId="7D154773" w14:textId="3462EEDB"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DA5FE89" w14:textId="6DB95A8E" w:rsidR="008E6500" w:rsidRPr="00423D87" w:rsidRDefault="00C32131" w:rsidP="000D7B8E">
      <w:pPr>
        <w:spacing w:after="0" w:line="360" w:lineRule="auto"/>
        <w:jc w:val="both"/>
        <w:rPr>
          <w:rFonts w:cs="Arial"/>
          <w:iCs/>
          <w:szCs w:val="24"/>
          <w:lang w:val="en-US"/>
        </w:rPr>
      </w:pPr>
      <w:r w:rsidRPr="00423D87">
        <w:rPr>
          <w:rFonts w:cs="Arial"/>
          <w:iCs/>
          <w:szCs w:val="24"/>
          <w:lang w:val="en-US"/>
        </w:rPr>
        <w:t>Therefore, this might have influenced the results as well.</w:t>
      </w:r>
    </w:p>
    <w:p w14:paraId="7D2AF698" w14:textId="38574999" w:rsidR="000D7B8E" w:rsidRPr="00423D87" w:rsidRDefault="00C32131" w:rsidP="000D7B8E">
      <w:pPr>
        <w:spacing w:line="360" w:lineRule="auto"/>
        <w:jc w:val="both"/>
        <w:rPr>
          <w:rFonts w:cs="Arial"/>
          <w:iCs/>
          <w:szCs w:val="24"/>
          <w:lang w:val="en-US"/>
        </w:rPr>
      </w:pPr>
      <w:r w:rsidRPr="00423D87">
        <w:rPr>
          <w:rFonts w:cs="Arial"/>
          <w:iCs/>
          <w:szCs w:val="24"/>
          <w:lang w:val="en-US"/>
        </w:rPr>
        <w:lastRenderedPageBreak/>
        <w:tab/>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enforcement</w:t>
      </w:r>
      <w:r w:rsidR="007065B0" w:rsidRPr="00423D87">
        <w:rPr>
          <w:rFonts w:cs="Arial"/>
          <w:iCs/>
          <w:szCs w:val="24"/>
          <w:lang w:val="en-US"/>
        </w:rPr>
        <w:t>-</w:t>
      </w:r>
      <w:r w:rsidR="008E6500" w:rsidRPr="00423D87">
        <w:rPr>
          <w:rFonts w:cs="Arial"/>
          <w:iCs/>
          <w:szCs w:val="24"/>
          <w:lang w:val="en-US"/>
        </w:rPr>
        <w:t>oriented.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 xml:space="preserve">Addison needs to hire more police to patrol the streets and answer calls, especially at night. If criminals know that there are [sic] police </w:t>
      </w:r>
      <w:proofErr w:type="spellStart"/>
      <w:r w:rsidRPr="00423D87">
        <w:rPr>
          <w:rFonts w:cs="Arial"/>
          <w:iCs/>
          <w:szCs w:val="24"/>
          <w:lang w:val="en-US"/>
        </w:rPr>
        <w:t>near by</w:t>
      </w:r>
      <w:proofErr w:type="spellEnd"/>
      <w:r w:rsidRPr="00423D87">
        <w:rPr>
          <w:rFonts w:cs="Arial"/>
          <w:iCs/>
          <w:szCs w:val="24"/>
          <w:lang w:val="en-US"/>
        </w:rPr>
        <w:t xml:space="preserve"> [sic] and they will be caught, they will be less likely to commit a crime.</w:t>
      </w:r>
    </w:p>
    <w:p w14:paraId="73A5AF6F" w14:textId="68BE13FB" w:rsidR="008E6500" w:rsidRPr="00423D87" w:rsidRDefault="008E6500" w:rsidP="007065B0">
      <w:pPr>
        <w:spacing w:after="0" w:line="360" w:lineRule="auto"/>
        <w:jc w:val="both"/>
        <w:rPr>
          <w:rFonts w:cs="Arial"/>
          <w:iCs/>
          <w:szCs w:val="24"/>
          <w:lang w:val="en-US"/>
        </w:rPr>
      </w:pPr>
      <w:r w:rsidRPr="00423D87">
        <w:rPr>
          <w:rFonts w:cs="Arial"/>
          <w:iCs/>
          <w:szCs w:val="24"/>
          <w:lang w:val="en-US"/>
        </w:rPr>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4F04B47F" w14:textId="77777777" w:rsidR="00BC7A9F" w:rsidRPr="00423D87" w:rsidRDefault="00BC7A9F" w:rsidP="00F702E6">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6" w:name="_Toc131516933"/>
      <w:r w:rsidRPr="00423D87">
        <w:rPr>
          <w:lang w:val="en-US"/>
        </w:rPr>
        <w:t>6</w:t>
      </w:r>
      <w:r w:rsidR="00BC7A9F" w:rsidRPr="00423D87">
        <w:rPr>
          <w:lang w:val="en-US"/>
        </w:rPr>
        <w:t>. Conclusions</w:t>
      </w:r>
      <w:bookmarkEnd w:id="16"/>
    </w:p>
    <w:p w14:paraId="24614563" w14:textId="3152EA1C" w:rsidR="00B06352" w:rsidRPr="00423D87" w:rsidRDefault="00B06352" w:rsidP="00B06352">
      <w:pPr>
        <w:spacing w:after="0" w:line="360" w:lineRule="auto"/>
        <w:jc w:val="both"/>
        <w:rPr>
          <w:rFonts w:cs="Arial"/>
          <w:iCs/>
          <w:szCs w:val="24"/>
          <w:lang w:val="en-US"/>
        </w:rPr>
      </w:pPr>
      <w:r w:rsidRPr="00423D87">
        <w:rPr>
          <w:rFonts w:cs="Arial"/>
          <w:iCs/>
          <w:szCs w:val="24"/>
          <w:lang w:val="en-US"/>
        </w:rPr>
        <w:t>Not only the way in which a problem is described, but also the contextual circumstances of the description can influence how we reason about said problem. In two studies, we investigated the effect of metaphors on reasoning. The first study aimed to explore the role of metaphors and political affiliations, while the second study analyzed how the reliability of the speaker influences the effect of the metaphor.</w:t>
      </w:r>
    </w:p>
    <w:p w14:paraId="30BD7CB6" w14:textId="039A7077" w:rsidR="00B06352" w:rsidRPr="00423D87" w:rsidRDefault="00B06352" w:rsidP="00B06352">
      <w:pPr>
        <w:spacing w:after="0" w:line="360" w:lineRule="auto"/>
        <w:ind w:firstLine="567"/>
        <w:jc w:val="both"/>
        <w:rPr>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w:t>
      </w:r>
      <w:r w:rsidRPr="00423D87">
        <w:rPr>
          <w:rFonts w:cs="Arial"/>
          <w:iCs/>
          <w:szCs w:val="24"/>
          <w:lang w:val="en-US"/>
        </w:rPr>
        <w:lastRenderedPageBreak/>
        <w:t xml:space="preserve">influences the sort of suggestion offered by participants. However, we found that participants who self-identify as Republicans are more likely to propose enforcement-oriented suggestions than other participants, which is consistent with the results presented by Thibodeau &amp; Boroditsky (2011). Additionally, our results indicate that the shorter vignette, which is used in the follow-up study, does not correlate with the perceived reliability of the text.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influence the effect of metaphors on reasoning. </w:t>
      </w:r>
    </w:p>
    <w:p w14:paraId="5CD82131" w14:textId="77777777" w:rsidR="00C253D8" w:rsidRPr="00423D87" w:rsidRDefault="00C253D8" w:rsidP="00C253D8">
      <w:pPr>
        <w:pStyle w:val="Listenabsatz"/>
        <w:numPr>
          <w:ilvl w:val="0"/>
          <w:numId w:val="12"/>
        </w:numPr>
        <w:rPr>
          <w:rFonts w:cs="Arial"/>
          <w:szCs w:val="24"/>
          <w:lang w:val="en-US"/>
        </w:rPr>
      </w:pPr>
      <w:r w:rsidRPr="00423D87">
        <w:rPr>
          <w:rFonts w:cs="Arial"/>
          <w:szCs w:val="24"/>
          <w:lang w:val="en-US"/>
        </w:rPr>
        <w:t>Make an argument in support of your overall conclusion</w:t>
      </w:r>
    </w:p>
    <w:p w14:paraId="6A7E2D37" w14:textId="77777777" w:rsidR="00C253D8" w:rsidRPr="00423D87" w:rsidRDefault="00C253D8" w:rsidP="00C253D8">
      <w:pPr>
        <w:pStyle w:val="Listenabsatz"/>
        <w:numPr>
          <w:ilvl w:val="1"/>
          <w:numId w:val="12"/>
        </w:numPr>
        <w:rPr>
          <w:rFonts w:cs="Arial"/>
          <w:szCs w:val="24"/>
          <w:lang w:val="en-US"/>
        </w:rPr>
      </w:pPr>
      <w:r w:rsidRPr="00423D87">
        <w:rPr>
          <w:rFonts w:cs="Arial"/>
          <w:szCs w:val="24"/>
          <w:lang w:val="en-US"/>
        </w:rPr>
        <w:t>What is my overall conclusion?</w:t>
      </w:r>
    </w:p>
    <w:p w14:paraId="05997DB6"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Our results indicate that the context does not seem to affect the influence of the metaphor.</w:t>
      </w:r>
    </w:p>
    <w:p w14:paraId="6C7863B7"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This leads to the assumption that metaphoric words themselves activate certain associations, as proposed in the theory above.</w:t>
      </w:r>
    </w:p>
    <w:p w14:paraId="34FCAF26" w14:textId="388E90A1" w:rsidR="00C253D8" w:rsidRPr="00423D87" w:rsidRDefault="00C253D8" w:rsidP="00C253D8">
      <w:pPr>
        <w:pStyle w:val="Listenabsatz"/>
        <w:numPr>
          <w:ilvl w:val="2"/>
          <w:numId w:val="12"/>
        </w:numPr>
        <w:rPr>
          <w:rFonts w:cs="Arial"/>
          <w:szCs w:val="24"/>
          <w:lang w:val="en-US"/>
        </w:rPr>
      </w:pPr>
      <w:r w:rsidRPr="00423D87">
        <w:rPr>
          <w:rFonts w:cs="Arial"/>
          <w:szCs w:val="24"/>
          <w:lang w:val="en-US"/>
        </w:rPr>
        <w:t>Further research is required to explore how metaphors work in more depth.</w:t>
      </w:r>
    </w:p>
    <w:p w14:paraId="3143B009" w14:textId="6EDCB8E4" w:rsidR="00F137AE" w:rsidRPr="00423D87" w:rsidRDefault="00B06352" w:rsidP="00F137AE">
      <w:pPr>
        <w:spacing w:after="0" w:line="360" w:lineRule="auto"/>
        <w:jc w:val="both"/>
        <w:rPr>
          <w:lang w:val="en-US"/>
        </w:rPr>
      </w:pPr>
      <w:r w:rsidRPr="00423D87">
        <w:rPr>
          <w:lang w:val="en-US"/>
        </w:rPr>
        <w:tab/>
      </w:r>
      <w:r w:rsidR="00F137AE" w:rsidRPr="00423D87">
        <w:rPr>
          <w:lang w:val="en-US"/>
        </w:rPr>
        <w:br w:type="page"/>
      </w:r>
    </w:p>
    <w:p w14:paraId="6186F78A" w14:textId="1343F2DB" w:rsidR="0037205B" w:rsidRPr="00423D87" w:rsidRDefault="00085A51" w:rsidP="0037205B">
      <w:pPr>
        <w:pStyle w:val="berschrift1"/>
        <w:rPr>
          <w:lang w:val="en-US"/>
        </w:rPr>
      </w:pPr>
      <w:bookmarkStart w:id="17" w:name="_Toc131516934"/>
      <w:r w:rsidRPr="00423D87">
        <w:rPr>
          <w:lang w:val="en-US"/>
        </w:rPr>
        <w:lastRenderedPageBreak/>
        <w:t>7</w:t>
      </w:r>
      <w:r w:rsidR="00B8697E" w:rsidRPr="00423D87">
        <w:rPr>
          <w:lang w:val="en-US"/>
        </w:rPr>
        <w:t>. Bibliography</w:t>
      </w:r>
      <w:bookmarkEnd w:id="17"/>
    </w:p>
    <w:p w14:paraId="714A8183"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Bougher</w:t>
      </w:r>
      <w:proofErr w:type="spellEnd"/>
      <w:r w:rsidRPr="00423D87">
        <w:rPr>
          <w:lang w:val="en-US"/>
        </w:rPr>
        <w:t xml:space="preserve">, L. D. (2012). The Case for Metaphor in Political Reasoning and Cognition: Metaphor in Political Reasoning and Cognition. </w:t>
      </w:r>
      <w:r w:rsidRPr="00423D87">
        <w:rPr>
          <w:i/>
          <w:iCs/>
          <w:lang w:val="en-US"/>
        </w:rPr>
        <w:t>Political Psychology</w:t>
      </w:r>
      <w:r w:rsidRPr="00423D87">
        <w:rPr>
          <w:lang w:val="en-US"/>
        </w:rPr>
        <w:t xml:space="preserve">, </w:t>
      </w:r>
      <w:r w:rsidRPr="00423D87">
        <w:rPr>
          <w:i/>
          <w:iCs/>
          <w:lang w:val="en-US"/>
        </w:rPr>
        <w:t>33</w:t>
      </w:r>
      <w:r w:rsidRPr="00423D87">
        <w:rPr>
          <w:lang w:val="en-US"/>
        </w:rPr>
        <w:t xml:space="preserve">(1), 145–163. </w:t>
      </w:r>
      <w:hyperlink r:id="rId25" w:history="1">
        <w:r w:rsidRPr="00423D87">
          <w:rPr>
            <w:rStyle w:val="Hyperlink"/>
            <w:lang w:val="en-US"/>
          </w:rPr>
          <w:t>https://doi.org/10.1111/j.1467-9221.2011.00865.x</w:t>
        </w:r>
      </w:hyperlink>
    </w:p>
    <w:p w14:paraId="7EBA1BF9" w14:textId="77777777" w:rsidR="0029781A" w:rsidRPr="00423D87" w:rsidRDefault="009543DD" w:rsidP="0029781A">
      <w:pPr>
        <w:suppressLineNumbers/>
        <w:spacing w:line="240" w:lineRule="auto"/>
        <w:ind w:left="709" w:hanging="709"/>
        <w:jc w:val="both"/>
        <w:rPr>
          <w:lang w:val="en-US"/>
        </w:rPr>
      </w:pPr>
      <w:r w:rsidRPr="00423D87">
        <w:rPr>
          <w:lang w:val="en-US"/>
        </w:rPr>
        <w:t xml:space="preserve">van den Broek, B. (2005). </w:t>
      </w:r>
      <w:r w:rsidRPr="00423D87">
        <w:rPr>
          <w:i/>
          <w:iCs/>
          <w:lang w:val="en-US"/>
        </w:rPr>
        <w:t>Treating the virus and capturing the beast: The effect of verbal and visual metaphor on reasoning about social problems.</w:t>
      </w:r>
      <w:r w:rsidRPr="00423D87">
        <w:rPr>
          <w:lang w:val="en-US"/>
        </w:rPr>
        <w:t xml:space="preserve"> Master’s thesis, Tilburg University.</w:t>
      </w:r>
    </w:p>
    <w:p w14:paraId="0A698B2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Christmann, U., &amp; Göhring, A.-L. (2016). A German-language replication study </w:t>
      </w:r>
      <w:proofErr w:type="spellStart"/>
      <w:r w:rsidRPr="00423D87">
        <w:rPr>
          <w:lang w:val="en-US"/>
        </w:rPr>
        <w:t>analysing</w:t>
      </w:r>
      <w:proofErr w:type="spellEnd"/>
      <w:r w:rsidRPr="00423D87">
        <w:rPr>
          <w:lang w:val="en-US"/>
        </w:rPr>
        <w:t xml:space="preserve"> the role of figurative speech in reasoning. </w:t>
      </w:r>
      <w:r w:rsidRPr="00423D87">
        <w:rPr>
          <w:i/>
          <w:iCs/>
          <w:lang w:val="en-US"/>
        </w:rPr>
        <w:t>Scientific Data</w:t>
      </w:r>
      <w:r w:rsidRPr="00423D87">
        <w:rPr>
          <w:lang w:val="en-US"/>
        </w:rPr>
        <w:t xml:space="preserve">, </w:t>
      </w:r>
      <w:r w:rsidRPr="00423D87">
        <w:rPr>
          <w:i/>
          <w:iCs/>
          <w:lang w:val="en-US"/>
        </w:rPr>
        <w:t>3</w:t>
      </w:r>
      <w:r w:rsidRPr="00423D87">
        <w:rPr>
          <w:lang w:val="en-US"/>
        </w:rPr>
        <w:t xml:space="preserve">(1), 160098. </w:t>
      </w:r>
      <w:hyperlink r:id="rId26" w:history="1">
        <w:r w:rsidRPr="00423D87">
          <w:rPr>
            <w:rStyle w:val="Hyperlink"/>
            <w:lang w:val="en-US"/>
          </w:rPr>
          <w:t>https://doi.org/10.1038/sdata.2016.98</w:t>
        </w:r>
      </w:hyperlink>
    </w:p>
    <w:p w14:paraId="058F747B"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Fausey</w:t>
      </w:r>
      <w:proofErr w:type="spellEnd"/>
      <w:r w:rsidRPr="00423D87">
        <w:rPr>
          <w:lang w:val="en-US"/>
        </w:rPr>
        <w:t xml:space="preserve">, C. M. (2010). Constructing agency: The role of language. </w:t>
      </w:r>
      <w:r w:rsidRPr="00423D87">
        <w:rPr>
          <w:i/>
          <w:iCs/>
          <w:lang w:val="en-US"/>
        </w:rPr>
        <w:t>Frontiers in Psychology</w:t>
      </w:r>
      <w:r w:rsidRPr="00423D87">
        <w:rPr>
          <w:lang w:val="en-US"/>
        </w:rPr>
        <w:t xml:space="preserve">, </w:t>
      </w:r>
      <w:r w:rsidRPr="00423D87">
        <w:rPr>
          <w:i/>
          <w:iCs/>
          <w:lang w:val="en-US"/>
        </w:rPr>
        <w:t>1</w:t>
      </w:r>
      <w:r w:rsidRPr="00423D87">
        <w:rPr>
          <w:lang w:val="en-US"/>
        </w:rPr>
        <w:t xml:space="preserve">. </w:t>
      </w:r>
      <w:hyperlink r:id="rId27" w:history="1">
        <w:r w:rsidRPr="00423D87">
          <w:rPr>
            <w:rStyle w:val="Hyperlink"/>
            <w:lang w:val="en-US"/>
          </w:rPr>
          <w:t>https://doi.org/10.3389/fpsyg.2010.00162</w:t>
        </w:r>
      </w:hyperlink>
    </w:p>
    <w:p w14:paraId="3163CB0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w:t>
      </w:r>
      <w:proofErr w:type="spellStart"/>
      <w:r w:rsidRPr="00423D87">
        <w:rPr>
          <w:lang w:val="en-US"/>
        </w:rPr>
        <w:t>Lauria</w:t>
      </w:r>
      <w:proofErr w:type="spellEnd"/>
      <w:r w:rsidRPr="00423D87">
        <w:rPr>
          <w:lang w:val="en-US"/>
        </w:rPr>
        <w:t xml:space="preserve">, M., Balko, S., &amp; Thibodeau, P. H. (2020). Effects of Communication Modality and Speaker Identity on Metaphor Framing. </w:t>
      </w:r>
      <w:r w:rsidRPr="00423D87">
        <w:rPr>
          <w:i/>
          <w:iCs/>
          <w:lang w:val="en-US"/>
        </w:rPr>
        <w:t>Metaphor and Symbol</w:t>
      </w:r>
      <w:r w:rsidRPr="00423D87">
        <w:rPr>
          <w:lang w:val="en-US"/>
        </w:rPr>
        <w:t xml:space="preserve">, </w:t>
      </w:r>
      <w:r w:rsidRPr="00423D87">
        <w:rPr>
          <w:i/>
          <w:iCs/>
          <w:lang w:val="en-US"/>
        </w:rPr>
        <w:t>35</w:t>
      </w:r>
      <w:r w:rsidRPr="00423D87">
        <w:rPr>
          <w:lang w:val="en-US"/>
        </w:rPr>
        <w:t xml:space="preserve">(2), 136–152. </w:t>
      </w:r>
      <w:hyperlink r:id="rId28" w:history="1">
        <w:r w:rsidRPr="00423D87">
          <w:rPr>
            <w:rStyle w:val="Hyperlink"/>
            <w:lang w:val="en-US"/>
          </w:rPr>
          <w:t>https://doi.org/10.1080/10926488.2020.1767336</w:t>
        </w:r>
      </w:hyperlink>
    </w:p>
    <w:p w14:paraId="39A8521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Matlock, T., &amp; Thibodeau, P. H. (2018). War metaphors in public discourse. </w:t>
      </w:r>
      <w:r w:rsidRPr="00423D87">
        <w:rPr>
          <w:i/>
          <w:iCs/>
          <w:lang w:val="en-US"/>
        </w:rPr>
        <w:t>Metaphor and Symbol</w:t>
      </w:r>
      <w:r w:rsidRPr="00423D87">
        <w:rPr>
          <w:lang w:val="en-US"/>
        </w:rPr>
        <w:t xml:space="preserve">, </w:t>
      </w:r>
      <w:r w:rsidRPr="00423D87">
        <w:rPr>
          <w:i/>
          <w:iCs/>
          <w:lang w:val="en-US"/>
        </w:rPr>
        <w:t>33</w:t>
      </w:r>
      <w:r w:rsidRPr="00423D87">
        <w:rPr>
          <w:lang w:val="en-US"/>
        </w:rPr>
        <w:t xml:space="preserve">(1), 1–18. </w:t>
      </w:r>
      <w:hyperlink r:id="rId29" w:history="1">
        <w:r w:rsidRPr="00423D87">
          <w:rPr>
            <w:rStyle w:val="Hyperlink"/>
            <w:lang w:val="en-US"/>
          </w:rPr>
          <w:t>https://doi.org/10.1080/10926488.2018.1407992</w:t>
        </w:r>
      </w:hyperlink>
    </w:p>
    <w:p w14:paraId="2349953A" w14:textId="77777777" w:rsidR="0029781A" w:rsidRPr="00423D87" w:rsidRDefault="009543DD" w:rsidP="0029781A">
      <w:pPr>
        <w:suppressLineNumbers/>
        <w:spacing w:line="240" w:lineRule="auto"/>
        <w:ind w:left="709" w:hanging="709"/>
        <w:jc w:val="both"/>
        <w:rPr>
          <w:lang w:val="en-US"/>
        </w:rPr>
      </w:pPr>
      <w:r w:rsidRPr="00423D87">
        <w:rPr>
          <w:lang w:val="en-US"/>
        </w:rPr>
        <w:t xml:space="preserve">Gibbs, R. W. (o. J.-a). </w:t>
      </w:r>
      <w:r w:rsidRPr="00423D87">
        <w:rPr>
          <w:i/>
          <w:iCs/>
          <w:lang w:val="en-US"/>
        </w:rPr>
        <w:t>The Cambridge Handbook of Metaphor and Thought</w:t>
      </w:r>
      <w:r w:rsidRPr="00423D87">
        <w:rPr>
          <w:lang w:val="en-US"/>
        </w:rPr>
        <w:t>.</w:t>
      </w:r>
    </w:p>
    <w:p w14:paraId="3ABB246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Gibbs, R. W. (2015). Do pragmatic signals affect conventional metaphor understanding? A failed test of deliberate metaphor theory. </w:t>
      </w:r>
      <w:r w:rsidRPr="00423D87">
        <w:rPr>
          <w:i/>
          <w:iCs/>
          <w:lang w:val="en-US"/>
        </w:rPr>
        <w:t>Journal of Pragmatics</w:t>
      </w:r>
      <w:r w:rsidRPr="00423D87">
        <w:rPr>
          <w:lang w:val="en-US"/>
        </w:rPr>
        <w:t xml:space="preserve">, </w:t>
      </w:r>
      <w:r w:rsidRPr="00423D87">
        <w:rPr>
          <w:i/>
          <w:iCs/>
          <w:lang w:val="en-US"/>
        </w:rPr>
        <w:t>90</w:t>
      </w:r>
      <w:r w:rsidRPr="00423D87">
        <w:rPr>
          <w:lang w:val="en-US"/>
        </w:rPr>
        <w:t xml:space="preserve">, 77–87. </w:t>
      </w:r>
      <w:hyperlink r:id="rId30" w:history="1">
        <w:r w:rsidRPr="00423D87">
          <w:rPr>
            <w:rStyle w:val="Hyperlink"/>
            <w:lang w:val="en-US"/>
          </w:rPr>
          <w:t>https://doi.org/10.1016/j.pragma.2015.05.021</w:t>
        </w:r>
      </w:hyperlink>
    </w:p>
    <w:p w14:paraId="5A99CD65"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Heyvaert</w:t>
      </w:r>
      <w:proofErr w:type="spellEnd"/>
      <w:r w:rsidRPr="00423D87">
        <w:rPr>
          <w:lang w:val="en-US"/>
        </w:rPr>
        <w:t xml:space="preserve">, P., </w:t>
      </w:r>
      <w:proofErr w:type="spellStart"/>
      <w:r w:rsidRPr="00423D87">
        <w:rPr>
          <w:lang w:val="en-US"/>
        </w:rPr>
        <w:t>Randour</w:t>
      </w:r>
      <w:proofErr w:type="spellEnd"/>
      <w:r w:rsidRPr="00423D87">
        <w:rPr>
          <w:lang w:val="en-US"/>
        </w:rPr>
        <w:t xml:space="preserve">, F., </w:t>
      </w:r>
      <w:proofErr w:type="spellStart"/>
      <w:r w:rsidRPr="00423D87">
        <w:rPr>
          <w:lang w:val="en-US"/>
        </w:rPr>
        <w:t>Dodeigne</w:t>
      </w:r>
      <w:proofErr w:type="spellEnd"/>
      <w:r w:rsidRPr="00423D87">
        <w:rPr>
          <w:lang w:val="en-US"/>
        </w:rPr>
        <w:t xml:space="preserve">, J., </w:t>
      </w:r>
      <w:proofErr w:type="spellStart"/>
      <w:r w:rsidRPr="00423D87">
        <w:rPr>
          <w:lang w:val="en-US"/>
        </w:rPr>
        <w:t>Perrez</w:t>
      </w:r>
      <w:proofErr w:type="spellEnd"/>
      <w:r w:rsidRPr="00423D87">
        <w:rPr>
          <w:lang w:val="en-US"/>
        </w:rPr>
        <w:t xml:space="preserve">, J., &amp; </w:t>
      </w:r>
      <w:proofErr w:type="spellStart"/>
      <w:r w:rsidRPr="00423D87">
        <w:rPr>
          <w:lang w:val="en-US"/>
        </w:rPr>
        <w:t>Reuchamps</w:t>
      </w:r>
      <w:proofErr w:type="spellEnd"/>
      <w:r w:rsidRPr="00423D87">
        <w:rPr>
          <w:lang w:val="en-US"/>
        </w:rPr>
        <w:t xml:space="preserve">, M. (2020). Metaphors in political communication: A case study of the use of deliberate metaphors in non-institutional political interviews. </w:t>
      </w:r>
      <w:r w:rsidRPr="00423D87">
        <w:rPr>
          <w:i/>
          <w:iCs/>
          <w:lang w:val="en-US"/>
        </w:rPr>
        <w:t>Journal of Language and Politics</w:t>
      </w:r>
      <w:r w:rsidRPr="00423D87">
        <w:rPr>
          <w:lang w:val="en-US"/>
        </w:rPr>
        <w:t xml:space="preserve">, </w:t>
      </w:r>
      <w:r w:rsidRPr="00423D87">
        <w:rPr>
          <w:i/>
          <w:iCs/>
          <w:lang w:val="en-US"/>
        </w:rPr>
        <w:t>19</w:t>
      </w:r>
      <w:r w:rsidRPr="00423D87">
        <w:rPr>
          <w:lang w:val="en-US"/>
        </w:rPr>
        <w:t xml:space="preserve">(2), 201–225. </w:t>
      </w:r>
      <w:hyperlink r:id="rId31" w:history="1">
        <w:r w:rsidRPr="00423D87">
          <w:rPr>
            <w:rStyle w:val="Hyperlink"/>
            <w:lang w:val="en-US"/>
          </w:rPr>
          <w:t>https://doi.org/10.1075/jlp.17057.hey</w:t>
        </w:r>
      </w:hyperlink>
    </w:p>
    <w:p w14:paraId="3B1E8CD8" w14:textId="77777777" w:rsidR="0029781A" w:rsidRPr="00423D87" w:rsidRDefault="009543DD" w:rsidP="0029781A">
      <w:pPr>
        <w:suppressLineNumbers/>
        <w:spacing w:line="240" w:lineRule="auto"/>
        <w:ind w:left="709" w:hanging="709"/>
        <w:jc w:val="both"/>
        <w:rPr>
          <w:lang w:val="en-US"/>
        </w:rPr>
      </w:pPr>
      <w:proofErr w:type="spellStart"/>
      <w:r w:rsidRPr="00423D87">
        <w:rPr>
          <w:lang w:val="en-US"/>
        </w:rPr>
        <w:t>Johannesson</w:t>
      </w:r>
      <w:proofErr w:type="spellEnd"/>
      <w:r w:rsidRPr="00423D87">
        <w:rPr>
          <w:lang w:val="en-US"/>
        </w:rPr>
        <w:t xml:space="preserve">, N.-L. (o. J.). </w:t>
      </w:r>
      <w:r w:rsidRPr="00423D87">
        <w:rPr>
          <w:i/>
          <w:iCs/>
          <w:lang w:val="en-US"/>
        </w:rPr>
        <w:t>When is metaphor deliberate</w:t>
      </w:r>
      <w:r w:rsidRPr="00423D87">
        <w:rPr>
          <w:lang w:val="en-US"/>
        </w:rPr>
        <w:t>.</w:t>
      </w:r>
    </w:p>
    <w:p w14:paraId="001D25B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Knowles, M., &amp; Moon, R. (2004). </w:t>
      </w:r>
      <w:r w:rsidRPr="00423D87">
        <w:rPr>
          <w:i/>
          <w:iCs/>
          <w:lang w:val="en-US"/>
        </w:rPr>
        <w:t>Introducing Metaphor</w:t>
      </w:r>
      <w:r w:rsidRPr="00423D87">
        <w:rPr>
          <w:lang w:val="en-US"/>
        </w:rPr>
        <w:t xml:space="preserve"> (0 </w:t>
      </w:r>
      <w:proofErr w:type="spellStart"/>
      <w:r w:rsidRPr="00423D87">
        <w:rPr>
          <w:lang w:val="en-US"/>
        </w:rPr>
        <w:t>Aufl</w:t>
      </w:r>
      <w:proofErr w:type="spellEnd"/>
      <w:r w:rsidRPr="00423D87">
        <w:rPr>
          <w:lang w:val="en-US"/>
        </w:rPr>
        <w:t xml:space="preserve">.). Routledge. </w:t>
      </w:r>
      <w:hyperlink r:id="rId32" w:history="1">
        <w:r w:rsidRPr="00423D87">
          <w:rPr>
            <w:rStyle w:val="Hyperlink"/>
            <w:lang w:val="en-US"/>
          </w:rPr>
          <w:t>https://doi.org/10.4324/9780203642368</w:t>
        </w:r>
      </w:hyperlink>
    </w:p>
    <w:p w14:paraId="58DC9AB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Loftus, E. F., &amp; Palmer, J. C. (1974). Reconstruction of automobile destruction: An example of the interaction between language and memory. </w:t>
      </w:r>
      <w:r w:rsidRPr="00423D87">
        <w:rPr>
          <w:i/>
          <w:iCs/>
          <w:lang w:val="en-US"/>
        </w:rPr>
        <w:t>Journal of Verbal Learning and Verbal Behavior</w:t>
      </w:r>
      <w:r w:rsidRPr="00423D87">
        <w:rPr>
          <w:lang w:val="en-US"/>
        </w:rPr>
        <w:t xml:space="preserve">, </w:t>
      </w:r>
      <w:r w:rsidRPr="00423D87">
        <w:rPr>
          <w:i/>
          <w:iCs/>
          <w:lang w:val="en-US"/>
        </w:rPr>
        <w:t>13</w:t>
      </w:r>
      <w:r w:rsidRPr="00423D87">
        <w:rPr>
          <w:lang w:val="en-US"/>
        </w:rPr>
        <w:t xml:space="preserve">(5), 585–589. </w:t>
      </w:r>
      <w:hyperlink r:id="rId33" w:history="1">
        <w:r w:rsidRPr="00423D87">
          <w:rPr>
            <w:rStyle w:val="Hyperlink"/>
            <w:lang w:val="en-US"/>
          </w:rPr>
          <w:t>https://doi.org/10.1016/S0022-5371(74)80011-3</w:t>
        </w:r>
      </w:hyperlink>
    </w:p>
    <w:p w14:paraId="37DA3F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Neuman, Y., Assaf, D., Cohen, Y., Last, M., </w:t>
      </w:r>
      <w:proofErr w:type="spellStart"/>
      <w:r w:rsidRPr="00423D87">
        <w:rPr>
          <w:lang w:val="en-US"/>
        </w:rPr>
        <w:t>Argamon</w:t>
      </w:r>
      <w:proofErr w:type="spellEnd"/>
      <w:r w:rsidRPr="00423D87">
        <w:rPr>
          <w:lang w:val="en-US"/>
        </w:rPr>
        <w:t xml:space="preserve">, S., Howard, N., &amp; Frieder, O. (2013). Metaphor Identification in Large Texts Corpora.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8</w:t>
      </w:r>
      <w:r w:rsidRPr="00423D87">
        <w:rPr>
          <w:lang w:val="en-US"/>
        </w:rPr>
        <w:t xml:space="preserve">(4), e62343. </w:t>
      </w:r>
      <w:hyperlink r:id="rId34" w:history="1">
        <w:r w:rsidRPr="00423D87">
          <w:rPr>
            <w:rStyle w:val="Hyperlink"/>
            <w:lang w:val="en-US"/>
          </w:rPr>
          <w:t>https://doi.org/10.1371/journal.pone.0062343</w:t>
        </w:r>
      </w:hyperlink>
    </w:p>
    <w:p w14:paraId="499AEC74"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Reijnierse, W. G., Burgers, C., </w:t>
      </w:r>
      <w:proofErr w:type="spellStart"/>
      <w:r w:rsidRPr="00423D87">
        <w:rPr>
          <w:lang w:val="en-US"/>
        </w:rPr>
        <w:t>Krennmayr</w:t>
      </w:r>
      <w:proofErr w:type="spellEnd"/>
      <w:r w:rsidRPr="00423D87">
        <w:rPr>
          <w:lang w:val="en-US"/>
        </w:rPr>
        <w:t xml:space="preserve">, T., &amp; Steen, G. J. (2015). How viruses and beasts affect our opinions (or not): The role of extendedness in metaphorical framing. </w:t>
      </w:r>
      <w:r w:rsidRPr="00423D87">
        <w:rPr>
          <w:i/>
          <w:iCs/>
          <w:lang w:val="en-US"/>
        </w:rPr>
        <w:t>Metaphor and the Social World</w:t>
      </w:r>
      <w:r w:rsidRPr="00423D87">
        <w:rPr>
          <w:lang w:val="en-US"/>
        </w:rPr>
        <w:t xml:space="preserve">, </w:t>
      </w:r>
      <w:r w:rsidRPr="00423D87">
        <w:rPr>
          <w:i/>
          <w:iCs/>
          <w:lang w:val="en-US"/>
        </w:rPr>
        <w:t>5</w:t>
      </w:r>
      <w:r w:rsidRPr="00423D87">
        <w:rPr>
          <w:lang w:val="en-US"/>
        </w:rPr>
        <w:t xml:space="preserve">(2), 245–263. </w:t>
      </w:r>
      <w:hyperlink r:id="rId35" w:history="1">
        <w:r w:rsidRPr="00423D87">
          <w:rPr>
            <w:rStyle w:val="Hyperlink"/>
            <w:lang w:val="en-US"/>
          </w:rPr>
          <w:t>https://doi.org/10.1075/msw.5.2.04rei</w:t>
        </w:r>
      </w:hyperlink>
    </w:p>
    <w:p w14:paraId="1BFC01E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(2008). The Paradox of Metaphor: Why We Need a Three-Dimensional Model of Metaphor. </w:t>
      </w:r>
      <w:r w:rsidRPr="00423D87">
        <w:rPr>
          <w:i/>
          <w:iCs/>
          <w:lang w:val="en-US"/>
        </w:rPr>
        <w:t>Metaphor and Symbol</w:t>
      </w:r>
      <w:r w:rsidRPr="00423D87">
        <w:rPr>
          <w:lang w:val="en-US"/>
        </w:rPr>
        <w:t xml:space="preserve">, </w:t>
      </w:r>
      <w:r w:rsidRPr="00423D87">
        <w:rPr>
          <w:i/>
          <w:iCs/>
          <w:lang w:val="en-US"/>
        </w:rPr>
        <w:t>23</w:t>
      </w:r>
      <w:r w:rsidRPr="00423D87">
        <w:rPr>
          <w:lang w:val="en-US"/>
        </w:rPr>
        <w:t xml:space="preserve">(4), 213–241. </w:t>
      </w:r>
      <w:hyperlink r:id="rId36" w:history="1">
        <w:r w:rsidRPr="00423D87">
          <w:rPr>
            <w:rStyle w:val="Hyperlink"/>
            <w:lang w:val="en-US"/>
          </w:rPr>
          <w:t>https://doi.org/10.1080/10926480802426753</w:t>
        </w:r>
      </w:hyperlink>
    </w:p>
    <w:p w14:paraId="26F3101C"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(2009). Deliberate Metaphor Affords Conscious Metaphorical Cognition. </w:t>
      </w:r>
      <w:r w:rsidRPr="00423D87">
        <w:rPr>
          <w:i/>
          <w:iCs/>
          <w:lang w:val="en-US"/>
        </w:rPr>
        <w:t>Cognitive Semiotics</w:t>
      </w:r>
      <w:r w:rsidRPr="00423D87">
        <w:rPr>
          <w:lang w:val="en-US"/>
        </w:rPr>
        <w:t xml:space="preserve">, </w:t>
      </w:r>
      <w:r w:rsidRPr="00423D87">
        <w:rPr>
          <w:i/>
          <w:iCs/>
          <w:lang w:val="en-US"/>
        </w:rPr>
        <w:t>5</w:t>
      </w:r>
      <w:r w:rsidRPr="00423D87">
        <w:rPr>
          <w:lang w:val="en-US"/>
        </w:rPr>
        <w:t xml:space="preserve">(1–2), 179–197. </w:t>
      </w:r>
      <w:hyperlink r:id="rId37" w:history="1">
        <w:r w:rsidRPr="00423D87">
          <w:rPr>
            <w:rStyle w:val="Hyperlink"/>
            <w:lang w:val="en-US"/>
          </w:rPr>
          <w:t>https://doi.org/doi:10.1515/cogsem.2013.5.12.179</w:t>
        </w:r>
      </w:hyperlink>
    </w:p>
    <w:p w14:paraId="7510252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(2017). Deliberate Metaphor Theory: Basic assumptions, main tenets, urgent issues. </w:t>
      </w:r>
      <w:r w:rsidRPr="00423D87">
        <w:rPr>
          <w:i/>
          <w:iCs/>
          <w:lang w:val="en-US"/>
        </w:rPr>
        <w:t>Intercultural Pragmatics</w:t>
      </w:r>
      <w:r w:rsidRPr="00423D87">
        <w:rPr>
          <w:lang w:val="en-US"/>
        </w:rPr>
        <w:t xml:space="preserve">, </w:t>
      </w:r>
      <w:r w:rsidRPr="00423D87">
        <w:rPr>
          <w:i/>
          <w:iCs/>
          <w:lang w:val="en-US"/>
        </w:rPr>
        <w:t>14</w:t>
      </w:r>
      <w:r w:rsidRPr="00423D87">
        <w:rPr>
          <w:lang w:val="en-US"/>
        </w:rPr>
        <w:t xml:space="preserve">(1), 1–24. </w:t>
      </w:r>
      <w:hyperlink r:id="rId38" w:history="1">
        <w:r w:rsidRPr="00423D87">
          <w:rPr>
            <w:rStyle w:val="Hyperlink"/>
            <w:lang w:val="en-US"/>
          </w:rPr>
          <w:t>https://doi.org/10.1515/ip-2017-0001</w:t>
        </w:r>
      </w:hyperlink>
    </w:p>
    <w:p w14:paraId="1F13FEE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(2011). The contemporary theory of metaphor—Now new and improved! </w:t>
      </w:r>
      <w:r w:rsidRPr="00423D87">
        <w:rPr>
          <w:i/>
          <w:iCs/>
          <w:lang w:val="en-US"/>
        </w:rPr>
        <w:t>Review of Cognitive Linguistics</w:t>
      </w:r>
      <w:r w:rsidRPr="00423D87">
        <w:rPr>
          <w:lang w:val="en-US"/>
        </w:rPr>
        <w:t xml:space="preserve">, </w:t>
      </w:r>
      <w:r w:rsidRPr="00423D87">
        <w:rPr>
          <w:i/>
          <w:iCs/>
          <w:lang w:val="en-US"/>
        </w:rPr>
        <w:t>9</w:t>
      </w:r>
      <w:r w:rsidRPr="00423D87">
        <w:rPr>
          <w:lang w:val="en-US"/>
        </w:rPr>
        <w:t xml:space="preserve">(1), 26–64. </w:t>
      </w:r>
      <w:hyperlink r:id="rId39" w:history="1">
        <w:r w:rsidRPr="00423D87">
          <w:rPr>
            <w:rStyle w:val="Hyperlink"/>
            <w:lang w:val="en-US"/>
          </w:rPr>
          <w:t>https://doi.org/10.1075/rcl.9.1.03ste</w:t>
        </w:r>
      </w:hyperlink>
    </w:p>
    <w:p w14:paraId="30DD00C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Reijnierse, W. G., &amp; Burgers, C. (2014). When Do Natural Language Metaphors Influence Reasoning? A Follow-Up Study to Thibodeau and Boroditsky (2013).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9</w:t>
      </w:r>
      <w:r w:rsidRPr="00423D87">
        <w:rPr>
          <w:lang w:val="en-US"/>
        </w:rPr>
        <w:t xml:space="preserve">(12), e113536. </w:t>
      </w:r>
      <w:hyperlink r:id="rId40" w:history="1">
        <w:r w:rsidRPr="00423D87">
          <w:rPr>
            <w:rStyle w:val="Hyperlink"/>
            <w:lang w:val="en-US"/>
          </w:rPr>
          <w:t>https://doi.org/10.1371/journal.pone.0113536</w:t>
        </w:r>
      </w:hyperlink>
    </w:p>
    <w:p w14:paraId="667577C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(2016). Extended Metaphors are the Home Runs of Persuasion: Don’t Fumble the Phrase. </w:t>
      </w:r>
      <w:r w:rsidRPr="00423D87">
        <w:rPr>
          <w:i/>
          <w:iCs/>
          <w:lang w:val="en-US"/>
        </w:rPr>
        <w:t>Metaphor and Symbol</w:t>
      </w:r>
      <w:r w:rsidRPr="00423D87">
        <w:rPr>
          <w:lang w:val="en-US"/>
        </w:rPr>
        <w:t xml:space="preserve">, </w:t>
      </w:r>
      <w:r w:rsidRPr="00423D87">
        <w:rPr>
          <w:i/>
          <w:iCs/>
          <w:lang w:val="en-US"/>
        </w:rPr>
        <w:t>31</w:t>
      </w:r>
      <w:r w:rsidRPr="00423D87">
        <w:rPr>
          <w:lang w:val="en-US"/>
        </w:rPr>
        <w:t xml:space="preserve">(2), 53–72. </w:t>
      </w:r>
      <w:hyperlink r:id="rId41" w:history="1">
        <w:r w:rsidRPr="00423D87">
          <w:rPr>
            <w:rStyle w:val="Hyperlink"/>
            <w:lang w:val="en-US"/>
          </w:rPr>
          <w:t>https://doi.org/10.1080/10926488.2016.1150756</w:t>
        </w:r>
      </w:hyperlink>
    </w:p>
    <w:p w14:paraId="327461B3"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(2013). Natural Language Metaphors Covertly Influence Reasoning.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8</w:t>
      </w:r>
      <w:r w:rsidRPr="00423D87">
        <w:rPr>
          <w:lang w:val="en-US"/>
        </w:rPr>
        <w:t xml:space="preserve">(1), e52961. </w:t>
      </w:r>
      <w:hyperlink r:id="rId42" w:history="1">
        <w:r w:rsidRPr="00423D87">
          <w:rPr>
            <w:rStyle w:val="Hyperlink"/>
            <w:lang w:val="en-US"/>
          </w:rPr>
          <w:t>https://doi.org/10.1371/journal.pone.0052961</w:t>
        </w:r>
      </w:hyperlink>
    </w:p>
    <w:p w14:paraId="36DE72C2"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(2015a).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43" w:history="1">
        <w:r w:rsidRPr="00423D87">
          <w:rPr>
            <w:rStyle w:val="Hyperlink"/>
            <w:lang w:val="en-US"/>
          </w:rPr>
          <w:t>https://doi.org/10.1371/journal.pone.0133939</w:t>
        </w:r>
      </w:hyperlink>
    </w:p>
    <w:p w14:paraId="0F4CE5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(2015b).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44" w:history="1">
        <w:r w:rsidRPr="00423D87">
          <w:rPr>
            <w:rStyle w:val="Hyperlink"/>
            <w:lang w:val="en-US"/>
          </w:rPr>
          <w:t>https://doi.org/10.1371/journal.pone.0133939</w:t>
        </w:r>
      </w:hyperlink>
    </w:p>
    <w:p w14:paraId="5B2AD46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Crow, L., &amp; Flusberg, S. J. (2017). The metaphor police: A case study of the role of metaphor in explanation. </w:t>
      </w:r>
      <w:r w:rsidRPr="00423D87">
        <w:rPr>
          <w:i/>
          <w:iCs/>
          <w:lang w:val="en-US"/>
        </w:rPr>
        <w:t>Psychonomic Bulletin &amp; Review</w:t>
      </w:r>
      <w:r w:rsidRPr="00423D87">
        <w:rPr>
          <w:lang w:val="en-US"/>
        </w:rPr>
        <w:t xml:space="preserve">, </w:t>
      </w:r>
      <w:r w:rsidRPr="00423D87">
        <w:rPr>
          <w:i/>
          <w:iCs/>
          <w:lang w:val="en-US"/>
        </w:rPr>
        <w:t>24</w:t>
      </w:r>
      <w:r w:rsidRPr="00423D87">
        <w:rPr>
          <w:lang w:val="en-US"/>
        </w:rPr>
        <w:t xml:space="preserve">(5), 1375–1386. </w:t>
      </w:r>
      <w:hyperlink r:id="rId45" w:history="1">
        <w:r w:rsidRPr="00423D87">
          <w:rPr>
            <w:rStyle w:val="Hyperlink"/>
            <w:lang w:val="en-US"/>
          </w:rPr>
          <w:t>https://doi.org/10.3758/s13423-016-1192-5</w:t>
        </w:r>
      </w:hyperlink>
    </w:p>
    <w:p w14:paraId="0D9A9B9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w:t>
      </w:r>
      <w:proofErr w:type="spellStart"/>
      <w:r w:rsidRPr="00423D87">
        <w:rPr>
          <w:lang w:val="en-US"/>
        </w:rPr>
        <w:t>Durgin</w:t>
      </w:r>
      <w:proofErr w:type="spellEnd"/>
      <w:r w:rsidRPr="00423D87">
        <w:rPr>
          <w:lang w:val="en-US"/>
        </w:rPr>
        <w:t xml:space="preserve">, F. H. (2011). Metaphor Aptness and Conventionality: A Processing Fluency Account. </w:t>
      </w:r>
      <w:r w:rsidRPr="00423D87">
        <w:rPr>
          <w:i/>
          <w:iCs/>
          <w:lang w:val="en-US"/>
        </w:rPr>
        <w:t>Metaphor and Symbol</w:t>
      </w:r>
      <w:r w:rsidRPr="00423D87">
        <w:rPr>
          <w:lang w:val="en-US"/>
        </w:rPr>
        <w:t xml:space="preserve">, </w:t>
      </w:r>
      <w:r w:rsidRPr="00423D87">
        <w:rPr>
          <w:i/>
          <w:iCs/>
          <w:lang w:val="en-US"/>
        </w:rPr>
        <w:t>26</w:t>
      </w:r>
      <w:r w:rsidRPr="00423D87">
        <w:rPr>
          <w:lang w:val="en-US"/>
        </w:rPr>
        <w:t xml:space="preserve">(3), 206–226. </w:t>
      </w:r>
      <w:hyperlink r:id="rId46" w:history="1">
        <w:r w:rsidRPr="00423D87">
          <w:rPr>
            <w:rStyle w:val="Hyperlink"/>
            <w:lang w:val="en-US"/>
          </w:rPr>
          <w:t>https://doi.org/10.1080/10926488.2011.583196</w:t>
        </w:r>
      </w:hyperlink>
    </w:p>
    <w:p w14:paraId="3CDC86E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Flusberg, S. J. (In press). </w:t>
      </w:r>
      <w:r w:rsidRPr="00423D87">
        <w:rPr>
          <w:i/>
          <w:iCs/>
          <w:lang w:val="en-US"/>
        </w:rPr>
        <w:t>Metaphor and Elaboration in Context</w:t>
      </w:r>
      <w:r w:rsidRPr="00423D87">
        <w:rPr>
          <w:lang w:val="en-US"/>
        </w:rPr>
        <w:t xml:space="preserve">. John Benjamins Publishing. </w:t>
      </w:r>
      <w:hyperlink r:id="rId47" w:history="1">
        <w:r w:rsidRPr="00423D87">
          <w:rPr>
            <w:rStyle w:val="Hyperlink"/>
            <w:lang w:val="en-US"/>
          </w:rPr>
          <w:t>https://osf.io/c93nf/download</w:t>
        </w:r>
      </w:hyperlink>
    </w:p>
    <w:p w14:paraId="47E4C0DB"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Thibodeau, P. H., Flusberg, S. J., Glick, J. J., &amp; Sternberg, D. A. (2013a).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8" w:history="1">
        <w:r w:rsidRPr="00423D87">
          <w:rPr>
            <w:rStyle w:val="Hyperlink"/>
            <w:lang w:val="en-US"/>
          </w:rPr>
          <w:t>https://doi.org/10.1080/09540091.2013.821458</w:t>
        </w:r>
      </w:hyperlink>
    </w:p>
    <w:p w14:paraId="5BCCB996"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Flusberg, S. J., Glick, J. J., &amp; Sternberg, D. A. (2013b).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9" w:history="1">
        <w:r w:rsidRPr="00423D87">
          <w:rPr>
            <w:rStyle w:val="Hyperlink"/>
            <w:lang w:val="en-US"/>
          </w:rPr>
          <w:t>https://doi.org/10.1080/09540091.2013.821458</w:t>
        </w:r>
      </w:hyperlink>
    </w:p>
    <w:p w14:paraId="6727BEB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Hendricks, R. K., &amp; Boroditsky, L. (2017). How Linguistic Metaphor Scaffolds Reasoning. </w:t>
      </w:r>
      <w:r w:rsidRPr="00423D87">
        <w:rPr>
          <w:i/>
          <w:iCs/>
          <w:lang w:val="en-US"/>
        </w:rPr>
        <w:t>Trends in Cognitive Sciences</w:t>
      </w:r>
      <w:r w:rsidRPr="00423D87">
        <w:rPr>
          <w:lang w:val="en-US"/>
        </w:rPr>
        <w:t xml:space="preserve">, </w:t>
      </w:r>
      <w:r w:rsidRPr="00423D87">
        <w:rPr>
          <w:i/>
          <w:iCs/>
          <w:lang w:val="en-US"/>
        </w:rPr>
        <w:t>21</w:t>
      </w:r>
      <w:r w:rsidRPr="00423D87">
        <w:rPr>
          <w:lang w:val="en-US"/>
        </w:rPr>
        <w:t xml:space="preserve">(11), 852–863. </w:t>
      </w:r>
      <w:hyperlink r:id="rId50" w:history="1">
        <w:r w:rsidRPr="00423D87">
          <w:rPr>
            <w:rStyle w:val="Hyperlink"/>
            <w:lang w:val="en-US"/>
          </w:rPr>
          <w:t>https://doi.org/10.1016/j.tics.2017.07.001</w:t>
        </w:r>
      </w:hyperlink>
    </w:p>
    <w:p w14:paraId="569A1B6A"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Matlock, T., &amp; Flusberg, S. J. (2019). The role of metaphor in communication and thought. </w:t>
      </w:r>
      <w:r w:rsidRPr="00423D87">
        <w:rPr>
          <w:i/>
          <w:iCs/>
          <w:lang w:val="en-US"/>
        </w:rPr>
        <w:t>Language and Linguistics Compass</w:t>
      </w:r>
      <w:r w:rsidRPr="00423D87">
        <w:rPr>
          <w:lang w:val="en-US"/>
        </w:rPr>
        <w:t xml:space="preserve">, </w:t>
      </w:r>
      <w:r w:rsidRPr="00423D87">
        <w:rPr>
          <w:i/>
          <w:iCs/>
          <w:lang w:val="en-US"/>
        </w:rPr>
        <w:t>13</w:t>
      </w:r>
      <w:r w:rsidRPr="00423D87">
        <w:rPr>
          <w:lang w:val="en-US"/>
        </w:rPr>
        <w:t xml:space="preserve">(5), e12327. </w:t>
      </w:r>
      <w:hyperlink r:id="rId51" w:history="1">
        <w:r w:rsidRPr="00423D87">
          <w:rPr>
            <w:rStyle w:val="Hyperlink"/>
            <w:lang w:val="en-US"/>
          </w:rPr>
          <w:t>https://doi.org/10.1111/lnc3.12327</w:t>
        </w:r>
      </w:hyperlink>
    </w:p>
    <w:p w14:paraId="47D0BDCC" w14:textId="751C09F7" w:rsidR="00FA002F" w:rsidRPr="00423D87" w:rsidRDefault="009543DD" w:rsidP="0029781A">
      <w:pPr>
        <w:suppressLineNumbers/>
        <w:spacing w:line="240" w:lineRule="auto"/>
        <w:ind w:left="709" w:hanging="709"/>
        <w:jc w:val="both"/>
        <w:rPr>
          <w:rFonts w:cs="Arial"/>
          <w:szCs w:val="24"/>
          <w:lang w:val="en-US"/>
        </w:rPr>
      </w:pPr>
      <w:r w:rsidRPr="00423D87">
        <w:rPr>
          <w:lang w:val="en-US"/>
        </w:rPr>
        <w:t xml:space="preserve">Thibodeau, P., Peebles, M. M., </w:t>
      </w:r>
      <w:proofErr w:type="spellStart"/>
      <w:r w:rsidRPr="00423D87">
        <w:rPr>
          <w:lang w:val="en-US"/>
        </w:rPr>
        <w:t>Grodner</w:t>
      </w:r>
      <w:proofErr w:type="spellEnd"/>
      <w:r w:rsidRPr="00423D87">
        <w:rPr>
          <w:lang w:val="en-US"/>
        </w:rPr>
        <w:t xml:space="preserve">, D. J., &amp; </w:t>
      </w:r>
      <w:proofErr w:type="spellStart"/>
      <w:r w:rsidRPr="00423D87">
        <w:rPr>
          <w:lang w:val="en-US"/>
        </w:rPr>
        <w:t>Durgin</w:t>
      </w:r>
      <w:proofErr w:type="spellEnd"/>
      <w:r w:rsidRPr="00423D87">
        <w:rPr>
          <w:lang w:val="en-US"/>
        </w:rPr>
        <w:t xml:space="preserve">, F. H. (2015). The Wished-For Always Wins Until the Winner Was Inevitable All Along: Motivated Reasoning and Belief Bias Regulate Emotion During Elections: Elections Bias Reasoning. </w:t>
      </w:r>
      <w:r w:rsidRPr="00423D87">
        <w:rPr>
          <w:i/>
          <w:iCs/>
          <w:lang w:val="en-US"/>
        </w:rPr>
        <w:t>Political Psychology</w:t>
      </w:r>
      <w:r w:rsidRPr="00423D87">
        <w:rPr>
          <w:lang w:val="en-US"/>
        </w:rPr>
        <w:t xml:space="preserve">, </w:t>
      </w:r>
      <w:r w:rsidRPr="00423D87">
        <w:rPr>
          <w:i/>
          <w:iCs/>
          <w:lang w:val="en-US"/>
        </w:rPr>
        <w:t>36</w:t>
      </w:r>
      <w:r w:rsidRPr="00423D87">
        <w:rPr>
          <w:lang w:val="en-US"/>
        </w:rPr>
        <w:t xml:space="preserve">(4), 431–448. </w:t>
      </w:r>
      <w:hyperlink r:id="rId52" w:history="1">
        <w:r w:rsidRPr="00423D87">
          <w:rPr>
            <w:rStyle w:val="Hyperlink"/>
            <w:lang w:val="en-US"/>
          </w:rPr>
          <w:t>https://doi.org/10.1111/pops.12100</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8" w:name="_Toc131516935"/>
      <w:r w:rsidRPr="00423D87">
        <w:rPr>
          <w:lang w:val="en-US"/>
        </w:rPr>
        <w:lastRenderedPageBreak/>
        <w:t>8</w:t>
      </w:r>
      <w:r w:rsidR="00B8697E" w:rsidRPr="00423D87">
        <w:rPr>
          <w:lang w:val="en-US"/>
        </w:rPr>
        <w:t>. Appendix</w:t>
      </w:r>
      <w:bookmarkEnd w:id="18"/>
    </w:p>
    <w:p w14:paraId="4808EBA8" w14:textId="5B2DA149" w:rsidR="00D9468A" w:rsidRPr="00423D87" w:rsidRDefault="00085A51" w:rsidP="00142101">
      <w:pPr>
        <w:pStyle w:val="berschrift2"/>
      </w:pPr>
      <w:bookmarkStart w:id="19" w:name="_Toc131516936"/>
      <w:r w:rsidRPr="00423D87">
        <w:t>8</w:t>
      </w:r>
      <w:r w:rsidR="00D9468A" w:rsidRPr="00423D87">
        <w:t>.</w:t>
      </w:r>
      <w:r w:rsidR="00650144" w:rsidRPr="00423D87">
        <w:t>1</w:t>
      </w:r>
      <w:r w:rsidR="00D9468A" w:rsidRPr="00423D87">
        <w:t xml:space="preserve"> Pilot study: Findings</w:t>
      </w:r>
      <w:bookmarkEnd w:id="19"/>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48BDABC5" w:rsidR="00D9468A" w:rsidRPr="00423D87" w:rsidRDefault="00423D87" w:rsidP="00423D87">
      <w:pPr>
        <w:pStyle w:val="Beschriftung"/>
        <w:framePr w:wrap="around"/>
        <w:jc w:val="left"/>
        <w:rPr>
          <w:lang w:val="en-US"/>
        </w:rPr>
      </w:pPr>
      <w:bookmarkStart w:id="20" w:name="_Toc131516888"/>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Pr>
          <w:noProof/>
          <w:lang w:val="en-US"/>
        </w:rPr>
        <w:t>6</w:t>
      </w:r>
      <w:r w:rsidRPr="00423D87">
        <w:rPr>
          <w:lang w:val="en-US"/>
        </w:rPr>
        <w:fldChar w:fldCharType="end"/>
      </w:r>
      <w:r w:rsidRPr="00423D87">
        <w:rPr>
          <w:lang w:val="en-US"/>
        </w:rPr>
        <w:t xml:space="preserve">: </w:t>
      </w:r>
      <w:r w:rsidRPr="00423D87">
        <w:rPr>
          <w:b w:val="0"/>
          <w:bCs w:val="0"/>
          <w:lang w:val="en-US"/>
        </w:rPr>
        <w:t>Perceived reliability of vignette in pilot study of replication study</w:t>
      </w:r>
      <w:bookmarkEnd w:id="20"/>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07C45279" w:rsidR="00D9468A" w:rsidRPr="00423D87" w:rsidRDefault="00423D87" w:rsidP="00423D87">
      <w:pPr>
        <w:pStyle w:val="Beschriftung"/>
        <w:framePr w:wrap="around"/>
        <w:jc w:val="left"/>
        <w:rPr>
          <w:lang w:val="en-US"/>
        </w:rPr>
      </w:pPr>
      <w:bookmarkStart w:id="21" w:name="_Toc131516889"/>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bookmarkEnd w:id="21"/>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7990AD2C" w:rsidR="00423D87" w:rsidRPr="00423D87" w:rsidRDefault="00423D87" w:rsidP="00423D87">
      <w:pPr>
        <w:pStyle w:val="Beschriftung"/>
        <w:framePr w:wrap="around"/>
        <w:jc w:val="left"/>
        <w:rPr>
          <w:lang w:val="en-US"/>
        </w:rPr>
      </w:pPr>
      <w:bookmarkStart w:id="22" w:name="_Toc131516890"/>
      <w:r>
        <w:t xml:space="preserve">Figure </w:t>
      </w:r>
      <w:r>
        <w:fldChar w:fldCharType="begin"/>
      </w:r>
      <w:r>
        <w:instrText xml:space="preserve"> SEQ Figure \* ARABIC </w:instrText>
      </w:r>
      <w:r>
        <w:fldChar w:fldCharType="separate"/>
      </w:r>
      <w:r>
        <w:rPr>
          <w:noProof/>
        </w:rPr>
        <w:t>8</w:t>
      </w:r>
      <w:r>
        <w:fldChar w:fldCharType="end"/>
      </w:r>
      <w:r>
        <w:t xml:space="preserve">: </w:t>
      </w:r>
      <w:r w:rsidRPr="00423D87">
        <w:rPr>
          <w:b w:val="0"/>
          <w:bCs w:val="0"/>
        </w:rPr>
        <w:t>Participants' categorized responses in pilot study of replication study.</w:t>
      </w:r>
      <w:bookmarkEnd w:id="22"/>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23" w:name="_Toc131516937"/>
      <w:r w:rsidRPr="00423D87">
        <w:lastRenderedPageBreak/>
        <w:t>8</w:t>
      </w:r>
      <w:r w:rsidR="00D9468A" w:rsidRPr="00423D87">
        <w:t>.</w:t>
      </w:r>
      <w:r w:rsidR="00650144" w:rsidRPr="00423D87">
        <w:t>2</w:t>
      </w:r>
      <w:r w:rsidR="00D9468A" w:rsidRPr="00423D87">
        <w:t xml:space="preserve"> </w:t>
      </w:r>
      <w:r w:rsidR="00650144" w:rsidRPr="00423D87">
        <w:t>Materials of replication study</w:t>
      </w:r>
      <w:bookmarkEnd w:id="23"/>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4" w:name="_Toc131516938"/>
      <w:r w:rsidRPr="00423D87">
        <w:lastRenderedPageBreak/>
        <w:t>8</w:t>
      </w:r>
      <w:r w:rsidR="00EA580A" w:rsidRPr="00423D87">
        <w:t>.</w:t>
      </w:r>
      <w:r w:rsidR="00650144" w:rsidRPr="00423D87">
        <w:t>3</w:t>
      </w:r>
      <w:r w:rsidR="00D9468A" w:rsidRPr="00423D87">
        <w:t xml:space="preserve"> </w:t>
      </w:r>
      <w:r w:rsidR="00650144" w:rsidRPr="00423D87">
        <w:t>Materials of follow-up study</w:t>
      </w:r>
      <w:bookmarkEnd w:id="24"/>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lastRenderedPageBreak/>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61"/>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6512" w14:textId="77777777" w:rsidR="003A1D54" w:rsidRDefault="003A1D54" w:rsidP="00D0261B">
      <w:pPr>
        <w:spacing w:after="0" w:line="240" w:lineRule="auto"/>
      </w:pPr>
      <w:r>
        <w:separator/>
      </w:r>
    </w:p>
  </w:endnote>
  <w:endnote w:type="continuationSeparator" w:id="0">
    <w:p w14:paraId="7BEC43A6" w14:textId="77777777" w:rsidR="003A1D54" w:rsidRDefault="003A1D5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8BAD" w14:textId="77777777" w:rsidR="003A1D54" w:rsidRDefault="003A1D54" w:rsidP="00D0261B">
      <w:pPr>
        <w:spacing w:after="0" w:line="240" w:lineRule="auto"/>
      </w:pPr>
      <w:r>
        <w:separator/>
      </w:r>
    </w:p>
  </w:footnote>
  <w:footnote w:type="continuationSeparator" w:id="0">
    <w:p w14:paraId="15B27BAF" w14:textId="77777777" w:rsidR="003A1D54" w:rsidRDefault="003A1D54"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0"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2"/>
  </w:num>
  <w:num w:numId="3" w16cid:durableId="116029097">
    <w:abstractNumId w:val="2"/>
  </w:num>
  <w:num w:numId="4" w16cid:durableId="1382559292">
    <w:abstractNumId w:val="10"/>
  </w:num>
  <w:num w:numId="5" w16cid:durableId="426269632">
    <w:abstractNumId w:val="1"/>
  </w:num>
  <w:num w:numId="6" w16cid:durableId="941960481">
    <w:abstractNumId w:val="8"/>
  </w:num>
  <w:num w:numId="7" w16cid:durableId="1173760126">
    <w:abstractNumId w:val="6"/>
  </w:num>
  <w:num w:numId="8" w16cid:durableId="1277978082">
    <w:abstractNumId w:val="11"/>
  </w:num>
  <w:num w:numId="9" w16cid:durableId="224806648">
    <w:abstractNumId w:val="4"/>
  </w:num>
  <w:num w:numId="10" w16cid:durableId="1674987992">
    <w:abstractNumId w:val="3"/>
  </w:num>
  <w:num w:numId="11" w16cid:durableId="45616824">
    <w:abstractNumId w:val="7"/>
  </w:num>
  <w:num w:numId="12" w16cid:durableId="1160731787">
    <w:abstractNumId w:val="5"/>
  </w:num>
  <w:num w:numId="13" w16cid:durableId="110345966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4C5C"/>
    <w:rsid w:val="00065ED9"/>
    <w:rsid w:val="00066164"/>
    <w:rsid w:val="000726B8"/>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75336"/>
    <w:rsid w:val="003837BB"/>
    <w:rsid w:val="00384908"/>
    <w:rsid w:val="00384F97"/>
    <w:rsid w:val="00390E45"/>
    <w:rsid w:val="00393651"/>
    <w:rsid w:val="00395652"/>
    <w:rsid w:val="003A0551"/>
    <w:rsid w:val="003A1D54"/>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6E85"/>
    <w:rsid w:val="0046778C"/>
    <w:rsid w:val="004736EA"/>
    <w:rsid w:val="00473FB5"/>
    <w:rsid w:val="004749FE"/>
    <w:rsid w:val="0047662D"/>
    <w:rsid w:val="00476958"/>
    <w:rsid w:val="00476DD2"/>
    <w:rsid w:val="00477465"/>
    <w:rsid w:val="0048286F"/>
    <w:rsid w:val="00483F7C"/>
    <w:rsid w:val="00484F99"/>
    <w:rsid w:val="004876BD"/>
    <w:rsid w:val="004876D4"/>
    <w:rsid w:val="00487DA2"/>
    <w:rsid w:val="00491CCD"/>
    <w:rsid w:val="00491F8B"/>
    <w:rsid w:val="00493D00"/>
    <w:rsid w:val="00495BE3"/>
    <w:rsid w:val="004A0B88"/>
    <w:rsid w:val="004A377B"/>
    <w:rsid w:val="004A44C0"/>
    <w:rsid w:val="004A54E2"/>
    <w:rsid w:val="004A6F45"/>
    <w:rsid w:val="004B135C"/>
    <w:rsid w:val="004B747F"/>
    <w:rsid w:val="004C0C29"/>
    <w:rsid w:val="004C1DA9"/>
    <w:rsid w:val="004C2DC7"/>
    <w:rsid w:val="004C3972"/>
    <w:rsid w:val="004C3C55"/>
    <w:rsid w:val="004C4DB8"/>
    <w:rsid w:val="004C7112"/>
    <w:rsid w:val="004C7E62"/>
    <w:rsid w:val="004D0405"/>
    <w:rsid w:val="004D4866"/>
    <w:rsid w:val="004E1314"/>
    <w:rsid w:val="004E56A9"/>
    <w:rsid w:val="004F04EB"/>
    <w:rsid w:val="004F0A7E"/>
    <w:rsid w:val="004F213D"/>
    <w:rsid w:val="004F2174"/>
    <w:rsid w:val="004F6F3F"/>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144"/>
    <w:rsid w:val="00650C1D"/>
    <w:rsid w:val="006549B3"/>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705"/>
    <w:rsid w:val="007D6A68"/>
    <w:rsid w:val="007E26B7"/>
    <w:rsid w:val="007E35B3"/>
    <w:rsid w:val="007E4462"/>
    <w:rsid w:val="007E47EB"/>
    <w:rsid w:val="007E5663"/>
    <w:rsid w:val="007E7A65"/>
    <w:rsid w:val="007F0CF9"/>
    <w:rsid w:val="007F1D8E"/>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7205"/>
    <w:rsid w:val="00A4772F"/>
    <w:rsid w:val="00A52175"/>
    <w:rsid w:val="00A52482"/>
    <w:rsid w:val="00A52FC8"/>
    <w:rsid w:val="00A53D03"/>
    <w:rsid w:val="00A56045"/>
    <w:rsid w:val="00A571DF"/>
    <w:rsid w:val="00A605C5"/>
    <w:rsid w:val="00A60E8A"/>
    <w:rsid w:val="00A60F4B"/>
    <w:rsid w:val="00A62CD7"/>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DA9"/>
    <w:rsid w:val="00AA499A"/>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5AA"/>
    <w:rsid w:val="00AE199C"/>
    <w:rsid w:val="00AE4006"/>
    <w:rsid w:val="00AE57F4"/>
    <w:rsid w:val="00AE7E17"/>
    <w:rsid w:val="00AF2F17"/>
    <w:rsid w:val="00AF672C"/>
    <w:rsid w:val="00AF676C"/>
    <w:rsid w:val="00AF6FB9"/>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2F95"/>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74C6"/>
    <w:rsid w:val="00CD064B"/>
    <w:rsid w:val="00CD5557"/>
    <w:rsid w:val="00CD6DC2"/>
    <w:rsid w:val="00CE19E1"/>
    <w:rsid w:val="00CE4418"/>
    <w:rsid w:val="00CE5E4C"/>
    <w:rsid w:val="00CF149B"/>
    <w:rsid w:val="00CF4A1D"/>
    <w:rsid w:val="00CF4CBB"/>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0FCC"/>
    <w:rsid w:val="00D81B30"/>
    <w:rsid w:val="00D823A1"/>
    <w:rsid w:val="00D83313"/>
    <w:rsid w:val="00D84363"/>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D1306"/>
    <w:rsid w:val="00ED561C"/>
    <w:rsid w:val="00ED6513"/>
    <w:rsid w:val="00ED6B1D"/>
    <w:rsid w:val="00EE1541"/>
    <w:rsid w:val="00EE3B10"/>
    <w:rsid w:val="00EE56FA"/>
    <w:rsid w:val="00EE60F1"/>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nyurl.com/fu42mzce" TargetMode="External"/><Relationship Id="rId18" Type="http://schemas.openxmlformats.org/officeDocument/2006/relationships/hyperlink" Target="https://tinyurl.com/2p9yv4h2" TargetMode="External"/><Relationship Id="rId26" Type="http://schemas.openxmlformats.org/officeDocument/2006/relationships/hyperlink" Target="https://doi.org/10.1038/sdata.2016.98" TargetMode="External"/><Relationship Id="rId39" Type="http://schemas.openxmlformats.org/officeDocument/2006/relationships/hyperlink" Target="https://doi.org/10.1075/rcl.9.1.03ste" TargetMode="External"/><Relationship Id="rId21" Type="http://schemas.openxmlformats.org/officeDocument/2006/relationships/hyperlink" Target="http://www.prolific.co/" TargetMode="External"/><Relationship Id="rId34" Type="http://schemas.openxmlformats.org/officeDocument/2006/relationships/hyperlink" Target="https://doi.org/10.1371/journal.pone.0062343" TargetMode="External"/><Relationship Id="rId42" Type="http://schemas.openxmlformats.org/officeDocument/2006/relationships/hyperlink" Target="https://doi.org/10.1371/journal.pone.0052961" TargetMode="External"/><Relationship Id="rId47" Type="http://schemas.openxmlformats.org/officeDocument/2006/relationships/hyperlink" Target="https://osf.io/c93nf/download" TargetMode="External"/><Relationship Id="rId50" Type="http://schemas.openxmlformats.org/officeDocument/2006/relationships/hyperlink" Target="https://doi.org/10.1016/j.tics.2017.07.001" TargetMode="External"/><Relationship Id="rId55" Type="http://schemas.openxmlformats.org/officeDocument/2006/relationships/image" Target="media/image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inyurl.com/mrs64w68" TargetMode="External"/><Relationship Id="rId29" Type="http://schemas.openxmlformats.org/officeDocument/2006/relationships/hyperlink" Target="https://doi.org/10.1080/10926488.2018.1407992" TargetMode="External"/><Relationship Id="rId41" Type="http://schemas.openxmlformats.org/officeDocument/2006/relationships/hyperlink" Target="https://doi.org/10.1080/10926488.2016.1150756" TargetMode="External"/><Relationship Id="rId54" Type="http://schemas.openxmlformats.org/officeDocument/2006/relationships/image" Target="media/image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yczvyjy3" TargetMode="External"/><Relationship Id="rId24" Type="http://schemas.openxmlformats.org/officeDocument/2006/relationships/image" Target="media/image5.png"/><Relationship Id="rId32" Type="http://schemas.openxmlformats.org/officeDocument/2006/relationships/hyperlink" Target="https://doi.org/10.4324/9780203642368" TargetMode="External"/><Relationship Id="rId37" Type="http://schemas.openxmlformats.org/officeDocument/2006/relationships/hyperlink" Target="https://doi.org/doi:10.1515/cogsem.2013.5.12.179" TargetMode="External"/><Relationship Id="rId40" Type="http://schemas.openxmlformats.org/officeDocument/2006/relationships/hyperlink" Target="https://doi.org/10.1371/journal.pone.0113536" TargetMode="External"/><Relationship Id="rId45" Type="http://schemas.openxmlformats.org/officeDocument/2006/relationships/hyperlink" Target="https://doi.org/10.3758/s13423-016-1192-5" TargetMode="Externa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doi.org/10.1080/10926488.2020.1767336" TargetMode="External"/><Relationship Id="rId36" Type="http://schemas.openxmlformats.org/officeDocument/2006/relationships/hyperlink" Target="https://doi.org/10.1080/10926480802426753" TargetMode="External"/><Relationship Id="rId49" Type="http://schemas.openxmlformats.org/officeDocument/2006/relationships/hyperlink" Target="https://doi.org/10.1080/09540091.2013.821458" TargetMode="External"/><Relationship Id="rId57" Type="http://schemas.openxmlformats.org/officeDocument/2006/relationships/image" Target="media/image10.png"/><Relationship Id="rId61" Type="http://schemas.openxmlformats.org/officeDocument/2006/relationships/header" Target="header1.xml"/><Relationship Id="rId10" Type="http://schemas.openxmlformats.org/officeDocument/2006/relationships/hyperlink" Target="https://osf.io/2tbj5/" TargetMode="External"/><Relationship Id="rId19" Type="http://schemas.openxmlformats.org/officeDocument/2006/relationships/hyperlink" Target="https://osf.io/4fe9c" TargetMode="External"/><Relationship Id="rId31" Type="http://schemas.openxmlformats.org/officeDocument/2006/relationships/hyperlink" Target="https://doi.org/10.1075/jlp.17057.hey" TargetMode="External"/><Relationship Id="rId44" Type="http://schemas.openxmlformats.org/officeDocument/2006/relationships/hyperlink" Target="https://doi.org/10.1371/journal.pone.0133939" TargetMode="External"/><Relationship Id="rId52" Type="http://schemas.openxmlformats.org/officeDocument/2006/relationships/hyperlink" Target="https://doi.org/10.1111/pops.12100" TargetMode="External"/><Relationship Id="rId60"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tinyurl.com/bdexsaz7" TargetMode="External"/><Relationship Id="rId14" Type="http://schemas.openxmlformats.org/officeDocument/2006/relationships/image" Target="media/image1.png"/><Relationship Id="rId22" Type="http://schemas.openxmlformats.org/officeDocument/2006/relationships/hyperlink" Target="https://tinyurl.com/5f6r59c5" TargetMode="External"/><Relationship Id="rId27" Type="http://schemas.openxmlformats.org/officeDocument/2006/relationships/hyperlink" Target="https://doi.org/10.3389/fpsyg.2010.00162" TargetMode="External"/><Relationship Id="rId30" Type="http://schemas.openxmlformats.org/officeDocument/2006/relationships/hyperlink" Target="https://doi.org/10.1016/j.pragma.2015.05.021" TargetMode="External"/><Relationship Id="rId35" Type="http://schemas.openxmlformats.org/officeDocument/2006/relationships/hyperlink" Target="https://doi.org/10.1075/msw.5.2.04rei" TargetMode="External"/><Relationship Id="rId43" Type="http://schemas.openxmlformats.org/officeDocument/2006/relationships/hyperlink" Target="https://doi.org/10.1371/journal.pone.0133939" TargetMode="External"/><Relationship Id="rId48" Type="http://schemas.openxmlformats.org/officeDocument/2006/relationships/hyperlink" Target="https://doi.org/10.1080/09540091.2013.821458" TargetMode="External"/><Relationship Id="rId56" Type="http://schemas.openxmlformats.org/officeDocument/2006/relationships/image" Target="media/image9.png"/><Relationship Id="rId8" Type="http://schemas.openxmlformats.org/officeDocument/2006/relationships/hyperlink" Target="https://tinyurl.com/mr4vky58" TargetMode="External"/><Relationship Id="rId51" Type="http://schemas.openxmlformats.org/officeDocument/2006/relationships/hyperlink" Target="https://doi.org/10.1111/lnc3.12327" TargetMode="External"/><Relationship Id="rId3" Type="http://schemas.openxmlformats.org/officeDocument/2006/relationships/styles" Target="styles.xml"/><Relationship Id="rId12" Type="http://schemas.openxmlformats.org/officeDocument/2006/relationships/hyperlink" Target="https://tinyurl.com/9rj4ya2j" TargetMode="External"/><Relationship Id="rId17" Type="http://schemas.openxmlformats.org/officeDocument/2006/relationships/hyperlink" Target="https://tinyurl.com/5etvk8h4" TargetMode="External"/><Relationship Id="rId25" Type="http://schemas.openxmlformats.org/officeDocument/2006/relationships/hyperlink" Target="https://doi.org/10.1111/j.1467-9221.2011.00865.x" TargetMode="External"/><Relationship Id="rId33" Type="http://schemas.openxmlformats.org/officeDocument/2006/relationships/hyperlink" Target="https://doi.org/10.1016/S0022-5371(74)80011-3" TargetMode="External"/><Relationship Id="rId38" Type="http://schemas.openxmlformats.org/officeDocument/2006/relationships/hyperlink" Target="https://doi.org/10.1515/ip-2017-0001" TargetMode="External"/><Relationship Id="rId46" Type="http://schemas.openxmlformats.org/officeDocument/2006/relationships/hyperlink" Target="https://doi.org/10.1080/10926488.2011.583196" TargetMode="External"/><Relationship Id="rId59"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7968</Words>
  <Characters>45419</Characters>
  <Application>Microsoft Office Word</Application>
  <DocSecurity>0</DocSecurity>
  <Lines>378</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135</cp:revision>
  <cp:lastPrinted>2023-04-04T09:33:00Z</cp:lastPrinted>
  <dcterms:created xsi:type="dcterms:W3CDTF">2023-01-11T11:13:00Z</dcterms:created>
  <dcterms:modified xsi:type="dcterms:W3CDTF">2023-04-04T14:18:00Z</dcterms:modified>
</cp:coreProperties>
</file>