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9C5" w:rsidRPr="002149C5" w:rsidRDefault="002149C5" w:rsidP="002149C5">
      <w:pPr>
        <w:rPr>
          <w:b/>
        </w:rPr>
      </w:pPr>
      <w:r w:rsidRPr="002149C5">
        <w:rPr>
          <w:b/>
          <w:sz w:val="28"/>
        </w:rPr>
        <w:t>Abessiiv ja kaassõna 'ilma' murretes</w:t>
      </w:r>
    </w:p>
    <w:p w:rsidR="002149C5" w:rsidRDefault="002149C5" w:rsidP="002149C5">
      <w:r>
        <w:t>Miniuurimus</w:t>
      </w:r>
    </w:p>
    <w:p w:rsidR="002149C5" w:rsidRDefault="002149C5" w:rsidP="002149C5"/>
    <w:p w:rsidR="006F49EF" w:rsidRDefault="002149C5" w:rsidP="006F49EF">
      <w:pPr>
        <w:ind w:firstLine="284"/>
      </w:pPr>
      <w:r>
        <w:t xml:space="preserve">Selle töö eesmärk on uurida ühe sünonüümse konstruksioonipaari, kus sama on väljendatud analüütiliselt kaassõna abil või sünteetiliselt ainult käändelõpuga, levikut eesti murretes. Vaadeldud on mõlema konstruktsiooni esinemissagedusi eri murretes. Töö põhiküsimuseks on, millist vormi erinevatel murdealadel rohkem esineb - kas tavalisem on sünteetiline või analüütiline väljendusviis. Esinemissagedused on normaliseeritud, et eri murdealade sagedused oleksid võrreldatavad. Kõrge sagedus võib viidata ühe konstruktsiooni eelistamist teisele. </w:t>
      </w:r>
    </w:p>
    <w:p w:rsidR="002149C5" w:rsidRDefault="002149C5" w:rsidP="006F49EF">
      <w:pPr>
        <w:ind w:firstLine="284"/>
      </w:pPr>
      <w:r>
        <w:t>Uuritavateks samatähenduslikest konstruktsioonideks on selles töös:</w:t>
      </w:r>
    </w:p>
    <w:p w:rsidR="002149C5" w:rsidRDefault="002149C5" w:rsidP="002149C5">
      <w:r>
        <w:t xml:space="preserve">a) kaassõnafraas, mis koosneb kaassõnast </w:t>
      </w:r>
      <w:r w:rsidRPr="00571D0B">
        <w:rPr>
          <w:i/>
        </w:rPr>
        <w:t>ilma</w:t>
      </w:r>
      <w:r>
        <w:t xml:space="preserve"> ja seda laiendavast ilmaütlevas käändes sõnavormist,</w:t>
      </w:r>
    </w:p>
    <w:p w:rsidR="002149C5" w:rsidRDefault="002149C5" w:rsidP="002149C5">
      <w:r>
        <w:t xml:space="preserve">b) ilmaütlevas käändes sõnavormid. </w:t>
      </w:r>
    </w:p>
    <w:p w:rsidR="006F49EF" w:rsidRDefault="006F49EF" w:rsidP="002149C5">
      <w:bookmarkStart w:id="0" w:name="_GoBack"/>
      <w:bookmarkEnd w:id="0"/>
    </w:p>
    <w:p w:rsidR="002149C5" w:rsidRDefault="002149C5" w:rsidP="006F49EF">
      <w:pPr>
        <w:ind w:firstLine="284"/>
      </w:pPr>
      <w:r>
        <w:t xml:space="preserve">Mõlemad konstruktsioonid väljendavad millegi puudumist. Seejuures võivad sünonüümsed paarid olla moodustatud mõnest substantiivist: </w:t>
      </w:r>
      <w:r w:rsidRPr="00571D0B">
        <w:rPr>
          <w:i/>
        </w:rPr>
        <w:t>ilma aknata</w:t>
      </w:r>
      <w:r>
        <w:t xml:space="preserve"> vs </w:t>
      </w:r>
      <w:r w:rsidRPr="00571D0B">
        <w:rPr>
          <w:i/>
        </w:rPr>
        <w:t xml:space="preserve">aknata </w:t>
      </w:r>
      <w:r>
        <w:t xml:space="preserve">või supiinitarindist: </w:t>
      </w:r>
      <w:r w:rsidRPr="00571D0B">
        <w:rPr>
          <w:i/>
        </w:rPr>
        <w:t xml:space="preserve">ilma õppimata </w:t>
      </w:r>
      <w:r>
        <w:t xml:space="preserve">vs </w:t>
      </w:r>
      <w:r w:rsidRPr="00571D0B">
        <w:rPr>
          <w:i/>
        </w:rPr>
        <w:t>õppimata</w:t>
      </w:r>
      <w:r w:rsidR="00571D0B">
        <w:t xml:space="preserve">. </w:t>
      </w:r>
    </w:p>
    <w:p w:rsidR="002149C5" w:rsidRDefault="002149C5" w:rsidP="00571D0B">
      <w:pPr>
        <w:ind w:firstLine="284"/>
      </w:pPr>
      <w:r>
        <w:t>Uurimismaterjaliks on eesti murrete korpuse morfoloogiliselt märgendatud tekstid. Tekstidest on välja otsitud kõik üksused, kus abessiiv esineb üksinda või kus abessi</w:t>
      </w:r>
      <w:r w:rsidR="00571D0B">
        <w:t xml:space="preserve">iv esineb koos kaassõnaga </w:t>
      </w:r>
      <w:r w:rsidR="00571D0B" w:rsidRPr="00571D0B">
        <w:rPr>
          <w:i/>
        </w:rPr>
        <w:t>ilma</w:t>
      </w:r>
      <w:r>
        <w:t xml:space="preserve">. Selles töös arvestan kõikide murdekorpuses abessiiviks märgendatud sõnedega, aga olen materjali kaasanud ka ümbritseva konteksti, et hiljem saaks kõik </w:t>
      </w:r>
      <w:r w:rsidR="00571D0B">
        <w:t xml:space="preserve">juhud käsitsi üle kontrollida. </w:t>
      </w:r>
    </w:p>
    <w:p w:rsidR="002149C5" w:rsidRDefault="002149C5" w:rsidP="00571D0B">
      <w:pPr>
        <w:ind w:firstLine="284"/>
      </w:pPr>
      <w:r>
        <w:t>Murdekorpuse märgendatud tekstinäided on repositooriumi kaustas nimega Keskmurre. Skript, millega on otsitud kõik abessiivi näited, mis</w:t>
      </w:r>
      <w:r w:rsidR="00571D0B">
        <w:t xml:space="preserve"> esinevad ilma kaassõnata </w:t>
      </w:r>
      <w:r w:rsidR="00571D0B" w:rsidRPr="00571D0B">
        <w:rPr>
          <w:i/>
        </w:rPr>
        <w:t>ilma</w:t>
      </w:r>
      <w:r>
        <w:t>, on nimega abessiiv.sh ning skripti väljundiks on fail abessiiv.txt. Kaassõna 'ilma' koos abessiiviga on leitud skriptiga ilma_adessiiv.sh ning väljundiks on fail ilma_adessiiv.txt. Skriptide erinevaid etappe on täpsemalt kirjeldatud iga skripti juures eraldi.</w:t>
      </w:r>
    </w:p>
    <w:p w:rsidR="002149C5" w:rsidRDefault="002149C5" w:rsidP="00571D0B">
      <w:pPr>
        <w:ind w:firstLine="284"/>
      </w:pPr>
      <w:r>
        <w:t xml:space="preserve">Et võrrelda, mis murdealadel on tavalisem analüütiline ja mis aladel sünteetiline vorm, on korpusest eraldatud andmetest tehtud murrete kaupa üksuste esinemiste sagedustabel. Selleks kasutati skripte abessiiv_sagedused.sh ja ilma_abessiiv_sagedused.sh. Väljundfailideks on abessiiv_sagedused ja ilma_abessiiv_sagedused.txt. Saadud sagedusandmed normaliseeriti - korpuses on murdealade tekstide sõnade arv erinev ja seega pole eri murdealad omavahel </w:t>
      </w:r>
      <w:r>
        <w:lastRenderedPageBreak/>
        <w:t>võrreldatavad. Normaliseerimine teeb aga andmed omavahel võrreldavaks. Normaliseerimise valemiks on selles uurimuses:</w:t>
      </w:r>
    </w:p>
    <w:p w:rsidR="002149C5" w:rsidRDefault="002149C5" w:rsidP="002149C5"/>
    <w:p w:rsidR="002149C5" w:rsidRDefault="002149C5" w:rsidP="00571D0B">
      <w:pPr>
        <w:ind w:left="720" w:firstLine="720"/>
      </w:pPr>
      <w:r>
        <w:t xml:space="preserve">(üksuse esinemissagedus x sõnade arv korpuses) / sõnade arv murdes. </w:t>
      </w:r>
    </w:p>
    <w:p w:rsidR="002149C5" w:rsidRDefault="002149C5" w:rsidP="002149C5"/>
    <w:p w:rsidR="002149C5" w:rsidRDefault="002149C5" w:rsidP="002149C5">
      <w:r>
        <w:t>Sõnade arv murretes on leitud skrptiga sonade_arv.sh.</w:t>
      </w:r>
    </w:p>
    <w:p w:rsidR="002149C5" w:rsidRDefault="002149C5" w:rsidP="002149C5"/>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723"/>
        <w:gridCol w:w="1723"/>
      </w:tblGrid>
      <w:tr w:rsidR="00571D0B" w:rsidRPr="002149C5" w:rsidTr="00571D0B">
        <w:trPr>
          <w:trHeight w:val="647"/>
          <w:jc w:val="center"/>
        </w:trPr>
        <w:tc>
          <w:tcPr>
            <w:tcW w:w="1150" w:type="dxa"/>
            <w:tcBorders>
              <w:top w:val="single" w:sz="4" w:space="0" w:color="auto"/>
              <w:bottom w:val="single" w:sz="4" w:space="0" w:color="auto"/>
            </w:tcBorders>
            <w:noWrap/>
            <w:hideMark/>
          </w:tcPr>
          <w:p w:rsidR="00571D0B" w:rsidRPr="002149C5" w:rsidRDefault="00571D0B">
            <w:pPr>
              <w:rPr>
                <w:lang w:val="en-GB"/>
              </w:rPr>
            </w:pPr>
          </w:p>
        </w:tc>
        <w:tc>
          <w:tcPr>
            <w:tcW w:w="1723" w:type="dxa"/>
            <w:tcBorders>
              <w:top w:val="single" w:sz="4" w:space="0" w:color="auto"/>
              <w:bottom w:val="single" w:sz="4" w:space="0" w:color="auto"/>
            </w:tcBorders>
            <w:noWrap/>
            <w:hideMark/>
          </w:tcPr>
          <w:p w:rsidR="00571D0B" w:rsidRPr="002149C5" w:rsidRDefault="00571D0B">
            <w:r w:rsidRPr="002149C5">
              <w:t>abessiiv, normaliseeritud</w:t>
            </w:r>
          </w:p>
        </w:tc>
        <w:tc>
          <w:tcPr>
            <w:tcW w:w="1723" w:type="dxa"/>
            <w:tcBorders>
              <w:top w:val="single" w:sz="4" w:space="0" w:color="auto"/>
              <w:bottom w:val="single" w:sz="4" w:space="0" w:color="auto"/>
            </w:tcBorders>
            <w:noWrap/>
            <w:hideMark/>
          </w:tcPr>
          <w:p w:rsidR="00571D0B" w:rsidRPr="002149C5" w:rsidRDefault="00571D0B">
            <w:r w:rsidRPr="002149C5">
              <w:t>ilma+abessiiv, normaliseeritud</w:t>
            </w:r>
          </w:p>
        </w:tc>
      </w:tr>
      <w:tr w:rsidR="00571D0B" w:rsidRPr="002149C5" w:rsidTr="00571D0B">
        <w:trPr>
          <w:trHeight w:val="300"/>
          <w:jc w:val="center"/>
        </w:trPr>
        <w:tc>
          <w:tcPr>
            <w:tcW w:w="1150" w:type="dxa"/>
            <w:tcBorders>
              <w:top w:val="single" w:sz="4" w:space="0" w:color="auto"/>
            </w:tcBorders>
            <w:noWrap/>
            <w:hideMark/>
          </w:tcPr>
          <w:p w:rsidR="00571D0B" w:rsidRPr="002149C5" w:rsidRDefault="00571D0B">
            <w:r w:rsidRPr="002149C5">
              <w:t>SAARTE</w:t>
            </w:r>
          </w:p>
        </w:tc>
        <w:tc>
          <w:tcPr>
            <w:tcW w:w="1723" w:type="dxa"/>
            <w:tcBorders>
              <w:top w:val="single" w:sz="4" w:space="0" w:color="auto"/>
            </w:tcBorders>
            <w:noWrap/>
            <w:hideMark/>
          </w:tcPr>
          <w:p w:rsidR="00571D0B" w:rsidRPr="002149C5" w:rsidRDefault="00571D0B" w:rsidP="002149C5">
            <w:r w:rsidRPr="002149C5">
              <w:t>192</w:t>
            </w:r>
          </w:p>
        </w:tc>
        <w:tc>
          <w:tcPr>
            <w:tcW w:w="1723" w:type="dxa"/>
            <w:tcBorders>
              <w:top w:val="single" w:sz="4" w:space="0" w:color="auto"/>
            </w:tcBorders>
            <w:noWrap/>
            <w:hideMark/>
          </w:tcPr>
          <w:p w:rsidR="00571D0B" w:rsidRPr="002149C5" w:rsidRDefault="00571D0B" w:rsidP="002149C5">
            <w:r w:rsidRPr="002149C5">
              <w:t>53</w:t>
            </w:r>
          </w:p>
        </w:tc>
      </w:tr>
      <w:tr w:rsidR="00571D0B" w:rsidRPr="002149C5" w:rsidTr="00571D0B">
        <w:trPr>
          <w:trHeight w:val="300"/>
          <w:jc w:val="center"/>
        </w:trPr>
        <w:tc>
          <w:tcPr>
            <w:tcW w:w="1150" w:type="dxa"/>
            <w:noWrap/>
            <w:hideMark/>
          </w:tcPr>
          <w:p w:rsidR="00571D0B" w:rsidRPr="002149C5" w:rsidRDefault="00571D0B" w:rsidP="002149C5">
            <w:r w:rsidRPr="002149C5">
              <w:t>LÄÄNE</w:t>
            </w:r>
          </w:p>
        </w:tc>
        <w:tc>
          <w:tcPr>
            <w:tcW w:w="1723" w:type="dxa"/>
            <w:noWrap/>
            <w:hideMark/>
          </w:tcPr>
          <w:p w:rsidR="00571D0B" w:rsidRPr="002149C5" w:rsidRDefault="00571D0B" w:rsidP="002149C5">
            <w:r w:rsidRPr="002149C5">
              <w:t>148</w:t>
            </w:r>
          </w:p>
        </w:tc>
        <w:tc>
          <w:tcPr>
            <w:tcW w:w="1723" w:type="dxa"/>
            <w:noWrap/>
            <w:hideMark/>
          </w:tcPr>
          <w:p w:rsidR="00571D0B" w:rsidRPr="002149C5" w:rsidRDefault="00571D0B" w:rsidP="002149C5">
            <w:r w:rsidRPr="002149C5">
              <w:t>209</w:t>
            </w:r>
          </w:p>
        </w:tc>
      </w:tr>
      <w:tr w:rsidR="00571D0B" w:rsidRPr="002149C5" w:rsidTr="00571D0B">
        <w:trPr>
          <w:trHeight w:val="300"/>
          <w:jc w:val="center"/>
        </w:trPr>
        <w:tc>
          <w:tcPr>
            <w:tcW w:w="1150" w:type="dxa"/>
            <w:noWrap/>
            <w:hideMark/>
          </w:tcPr>
          <w:p w:rsidR="00571D0B" w:rsidRPr="002149C5" w:rsidRDefault="00571D0B" w:rsidP="002149C5">
            <w:r w:rsidRPr="002149C5">
              <w:t>VÕRU</w:t>
            </w:r>
          </w:p>
        </w:tc>
        <w:tc>
          <w:tcPr>
            <w:tcW w:w="1723" w:type="dxa"/>
            <w:noWrap/>
            <w:hideMark/>
          </w:tcPr>
          <w:p w:rsidR="00571D0B" w:rsidRPr="002149C5" w:rsidRDefault="00571D0B" w:rsidP="002149C5">
            <w:r w:rsidRPr="002149C5">
              <w:t>280</w:t>
            </w:r>
          </w:p>
        </w:tc>
        <w:tc>
          <w:tcPr>
            <w:tcW w:w="1723" w:type="dxa"/>
            <w:noWrap/>
            <w:hideMark/>
          </w:tcPr>
          <w:p w:rsidR="00571D0B" w:rsidRPr="002149C5" w:rsidRDefault="00571D0B" w:rsidP="002149C5">
            <w:r w:rsidRPr="002149C5">
              <w:t>243</w:t>
            </w:r>
          </w:p>
        </w:tc>
      </w:tr>
      <w:tr w:rsidR="00571D0B" w:rsidRPr="002149C5" w:rsidTr="00571D0B">
        <w:trPr>
          <w:trHeight w:val="300"/>
          <w:jc w:val="center"/>
        </w:trPr>
        <w:tc>
          <w:tcPr>
            <w:tcW w:w="1150" w:type="dxa"/>
            <w:noWrap/>
            <w:hideMark/>
          </w:tcPr>
          <w:p w:rsidR="00571D0B" w:rsidRPr="002149C5" w:rsidRDefault="00571D0B" w:rsidP="002149C5">
            <w:r w:rsidRPr="002149C5">
              <w:t>KESK</w:t>
            </w:r>
          </w:p>
        </w:tc>
        <w:tc>
          <w:tcPr>
            <w:tcW w:w="1723" w:type="dxa"/>
            <w:noWrap/>
            <w:hideMark/>
          </w:tcPr>
          <w:p w:rsidR="00571D0B" w:rsidRPr="002149C5" w:rsidRDefault="00571D0B" w:rsidP="002149C5">
            <w:r w:rsidRPr="002149C5">
              <w:t>141</w:t>
            </w:r>
          </w:p>
        </w:tc>
        <w:tc>
          <w:tcPr>
            <w:tcW w:w="1723" w:type="dxa"/>
            <w:noWrap/>
            <w:hideMark/>
          </w:tcPr>
          <w:p w:rsidR="00571D0B" w:rsidRPr="002149C5" w:rsidRDefault="00571D0B" w:rsidP="002149C5">
            <w:r w:rsidRPr="002149C5">
              <w:t>165</w:t>
            </w:r>
          </w:p>
        </w:tc>
      </w:tr>
      <w:tr w:rsidR="00571D0B" w:rsidRPr="002149C5" w:rsidTr="00571D0B">
        <w:trPr>
          <w:trHeight w:val="300"/>
          <w:jc w:val="center"/>
        </w:trPr>
        <w:tc>
          <w:tcPr>
            <w:tcW w:w="1150" w:type="dxa"/>
            <w:noWrap/>
            <w:hideMark/>
          </w:tcPr>
          <w:p w:rsidR="00571D0B" w:rsidRPr="002149C5" w:rsidRDefault="00571D0B" w:rsidP="002149C5">
            <w:r w:rsidRPr="002149C5">
              <w:t>IDA</w:t>
            </w:r>
          </w:p>
        </w:tc>
        <w:tc>
          <w:tcPr>
            <w:tcW w:w="1723" w:type="dxa"/>
            <w:noWrap/>
            <w:hideMark/>
          </w:tcPr>
          <w:p w:rsidR="00571D0B" w:rsidRPr="002149C5" w:rsidRDefault="00571D0B" w:rsidP="002149C5">
            <w:r w:rsidRPr="002149C5">
              <w:t>286</w:t>
            </w:r>
          </w:p>
        </w:tc>
        <w:tc>
          <w:tcPr>
            <w:tcW w:w="1723" w:type="dxa"/>
            <w:noWrap/>
            <w:hideMark/>
          </w:tcPr>
          <w:p w:rsidR="00571D0B" w:rsidRPr="002149C5" w:rsidRDefault="00571D0B" w:rsidP="002149C5">
            <w:r w:rsidRPr="002149C5">
              <w:t>143</w:t>
            </w:r>
          </w:p>
        </w:tc>
      </w:tr>
      <w:tr w:rsidR="00571D0B" w:rsidRPr="002149C5" w:rsidTr="00571D0B">
        <w:trPr>
          <w:trHeight w:val="300"/>
          <w:jc w:val="center"/>
        </w:trPr>
        <w:tc>
          <w:tcPr>
            <w:tcW w:w="1150" w:type="dxa"/>
            <w:noWrap/>
            <w:hideMark/>
          </w:tcPr>
          <w:p w:rsidR="00571D0B" w:rsidRPr="002149C5" w:rsidRDefault="00571D0B" w:rsidP="002149C5">
            <w:r w:rsidRPr="002149C5">
              <w:t>KIRDE</w:t>
            </w:r>
          </w:p>
        </w:tc>
        <w:tc>
          <w:tcPr>
            <w:tcW w:w="1723" w:type="dxa"/>
            <w:noWrap/>
            <w:hideMark/>
          </w:tcPr>
          <w:p w:rsidR="00571D0B" w:rsidRPr="002149C5" w:rsidRDefault="00571D0B" w:rsidP="002149C5">
            <w:r w:rsidRPr="002149C5">
              <w:t>260</w:t>
            </w:r>
          </w:p>
        </w:tc>
        <w:tc>
          <w:tcPr>
            <w:tcW w:w="1723" w:type="dxa"/>
            <w:noWrap/>
            <w:hideMark/>
          </w:tcPr>
          <w:p w:rsidR="00571D0B" w:rsidRPr="002149C5" w:rsidRDefault="00571D0B" w:rsidP="002149C5">
            <w:r w:rsidRPr="002149C5">
              <w:t>174</w:t>
            </w:r>
          </w:p>
        </w:tc>
      </w:tr>
      <w:tr w:rsidR="00571D0B" w:rsidRPr="002149C5" w:rsidTr="00571D0B">
        <w:trPr>
          <w:trHeight w:val="300"/>
          <w:jc w:val="center"/>
        </w:trPr>
        <w:tc>
          <w:tcPr>
            <w:tcW w:w="1150" w:type="dxa"/>
            <w:noWrap/>
            <w:hideMark/>
          </w:tcPr>
          <w:p w:rsidR="00571D0B" w:rsidRPr="002149C5" w:rsidRDefault="00571D0B" w:rsidP="002149C5">
            <w:r w:rsidRPr="002149C5">
              <w:t>RANNA</w:t>
            </w:r>
          </w:p>
        </w:tc>
        <w:tc>
          <w:tcPr>
            <w:tcW w:w="1723" w:type="dxa"/>
            <w:noWrap/>
            <w:hideMark/>
          </w:tcPr>
          <w:p w:rsidR="00571D0B" w:rsidRPr="002149C5" w:rsidRDefault="00571D0B" w:rsidP="002149C5">
            <w:r w:rsidRPr="002149C5">
              <w:t>235</w:t>
            </w:r>
          </w:p>
        </w:tc>
        <w:tc>
          <w:tcPr>
            <w:tcW w:w="1723" w:type="dxa"/>
            <w:noWrap/>
            <w:hideMark/>
          </w:tcPr>
          <w:p w:rsidR="00571D0B" w:rsidRPr="002149C5" w:rsidRDefault="00571D0B" w:rsidP="002149C5">
            <w:r w:rsidRPr="002149C5">
              <w:t>157</w:t>
            </w:r>
          </w:p>
        </w:tc>
      </w:tr>
      <w:tr w:rsidR="00571D0B" w:rsidRPr="002149C5" w:rsidTr="00571D0B">
        <w:trPr>
          <w:trHeight w:val="300"/>
          <w:jc w:val="center"/>
        </w:trPr>
        <w:tc>
          <w:tcPr>
            <w:tcW w:w="1150" w:type="dxa"/>
            <w:noWrap/>
            <w:hideMark/>
          </w:tcPr>
          <w:p w:rsidR="00571D0B" w:rsidRPr="002149C5" w:rsidRDefault="00571D0B" w:rsidP="002149C5">
            <w:r w:rsidRPr="002149C5">
              <w:t>MULGI</w:t>
            </w:r>
          </w:p>
        </w:tc>
        <w:tc>
          <w:tcPr>
            <w:tcW w:w="1723" w:type="dxa"/>
            <w:noWrap/>
            <w:hideMark/>
          </w:tcPr>
          <w:p w:rsidR="00571D0B" w:rsidRPr="002149C5" w:rsidRDefault="00571D0B" w:rsidP="002149C5">
            <w:r w:rsidRPr="002149C5">
              <w:t>164</w:t>
            </w:r>
          </w:p>
        </w:tc>
        <w:tc>
          <w:tcPr>
            <w:tcW w:w="1723" w:type="dxa"/>
            <w:noWrap/>
            <w:hideMark/>
          </w:tcPr>
          <w:p w:rsidR="00571D0B" w:rsidRPr="002149C5" w:rsidRDefault="00571D0B" w:rsidP="002149C5">
            <w:r w:rsidRPr="002149C5">
              <w:t>189</w:t>
            </w:r>
          </w:p>
        </w:tc>
      </w:tr>
      <w:tr w:rsidR="00571D0B" w:rsidRPr="002149C5" w:rsidTr="00571D0B">
        <w:trPr>
          <w:trHeight w:val="300"/>
          <w:jc w:val="center"/>
        </w:trPr>
        <w:tc>
          <w:tcPr>
            <w:tcW w:w="1150" w:type="dxa"/>
            <w:noWrap/>
            <w:hideMark/>
          </w:tcPr>
          <w:p w:rsidR="00571D0B" w:rsidRPr="002149C5" w:rsidRDefault="00571D0B" w:rsidP="002149C5">
            <w:r w:rsidRPr="002149C5">
              <w:t>TARTU</w:t>
            </w:r>
          </w:p>
        </w:tc>
        <w:tc>
          <w:tcPr>
            <w:tcW w:w="1723" w:type="dxa"/>
            <w:noWrap/>
            <w:hideMark/>
          </w:tcPr>
          <w:p w:rsidR="00571D0B" w:rsidRPr="002149C5" w:rsidRDefault="00571D0B" w:rsidP="002149C5">
            <w:r w:rsidRPr="002149C5">
              <w:t>137</w:t>
            </w:r>
          </w:p>
        </w:tc>
        <w:tc>
          <w:tcPr>
            <w:tcW w:w="1723" w:type="dxa"/>
            <w:noWrap/>
            <w:hideMark/>
          </w:tcPr>
          <w:p w:rsidR="00571D0B" w:rsidRPr="002149C5" w:rsidRDefault="00571D0B" w:rsidP="002149C5">
            <w:r w:rsidRPr="002149C5">
              <w:t>124</w:t>
            </w:r>
          </w:p>
        </w:tc>
      </w:tr>
      <w:tr w:rsidR="00571D0B" w:rsidRPr="002149C5" w:rsidTr="00571D0B">
        <w:trPr>
          <w:trHeight w:val="300"/>
          <w:jc w:val="center"/>
        </w:trPr>
        <w:tc>
          <w:tcPr>
            <w:tcW w:w="1150" w:type="dxa"/>
            <w:noWrap/>
            <w:hideMark/>
          </w:tcPr>
          <w:p w:rsidR="00571D0B" w:rsidRPr="002149C5" w:rsidRDefault="00571D0B" w:rsidP="002149C5">
            <w:r w:rsidRPr="002149C5">
              <w:t>SETU</w:t>
            </w:r>
          </w:p>
        </w:tc>
        <w:tc>
          <w:tcPr>
            <w:tcW w:w="1723" w:type="dxa"/>
            <w:noWrap/>
            <w:hideMark/>
          </w:tcPr>
          <w:p w:rsidR="00571D0B" w:rsidRPr="002149C5" w:rsidRDefault="00571D0B" w:rsidP="002149C5">
            <w:r w:rsidRPr="002149C5">
              <w:t>85</w:t>
            </w:r>
          </w:p>
        </w:tc>
        <w:tc>
          <w:tcPr>
            <w:tcW w:w="1723" w:type="dxa"/>
            <w:noWrap/>
            <w:hideMark/>
          </w:tcPr>
          <w:p w:rsidR="00571D0B" w:rsidRPr="002149C5" w:rsidRDefault="00571D0B" w:rsidP="002149C5">
            <w:r w:rsidRPr="002149C5">
              <w:t>43</w:t>
            </w:r>
          </w:p>
        </w:tc>
      </w:tr>
    </w:tbl>
    <w:p w:rsidR="002149C5" w:rsidRDefault="002149C5" w:rsidP="002149C5"/>
    <w:p w:rsidR="002149C5" w:rsidRDefault="002149C5" w:rsidP="00571D0B">
      <w:pPr>
        <w:ind w:left="2160" w:firstLine="720"/>
      </w:pPr>
      <w:r w:rsidRPr="00571D0B">
        <w:rPr>
          <w:b/>
        </w:rPr>
        <w:t>Tabel 1</w:t>
      </w:r>
      <w:r>
        <w:t>. Normaliseeritud sagedustabel.</w:t>
      </w:r>
    </w:p>
    <w:p w:rsidR="002149C5" w:rsidRDefault="002149C5" w:rsidP="002149C5"/>
    <w:p w:rsidR="002149C5" w:rsidRDefault="002149C5" w:rsidP="00571D0B">
      <w:pPr>
        <w:ind w:firstLine="284"/>
      </w:pPr>
      <w:r>
        <w:t>Normaliseeritud sagedusandmete põhjal selgub (tabel 1), et ida-, kirde-, ranna-, saarte, Võru, Tartu ja Setu murdes on sünteetilist abessiiviga vormi kasutatud rohkem kui analüütilist konstruktsiooni. Kõige selgemalt on sünteetilist vormi eelistatud ida-, kirde- ja rannamurdes. Ka saarte murdes on sünteetilist konstruktsiooni kasutatud palju rohkem kui analüütilist. Tartu, Võru ja Setu murdes pole kahe vormi sagedusandmete kasutuses väga märkimisväärseid erinevuseid. Ka Mulgi murdes on kahe konstruktsiooni esinemissageduste erinevus üsna väike, kuigi analüütilist väljendusviisi esineb selles murdes mõnevõrra rohkem. Keskmurdes ja läänemurdes on samuti analüütiline kaassõnaga vorm sagedasem.</w:t>
      </w:r>
    </w:p>
    <w:p w:rsidR="001B6FB8" w:rsidRDefault="002149C5" w:rsidP="00571D0B">
      <w:pPr>
        <w:ind w:firstLine="284"/>
      </w:pPr>
      <w:r>
        <w:t>Kokkuvõttes on sagedusandmete põhjal sünteetiline abessiiviga vormi ja analüütilise kaassõnaga konstruktsiooni kasutus üsna ühtlane. Selge eristuva ühtse rühma, kus sünteetiline vorm on eelistatum, moodustavad ida-, kirde- ja rannamurre.</w:t>
      </w:r>
    </w:p>
    <w:sectPr w:rsidR="001B6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C5"/>
    <w:rsid w:val="00162462"/>
    <w:rsid w:val="001B6FB8"/>
    <w:rsid w:val="002149C5"/>
    <w:rsid w:val="00505AD5"/>
    <w:rsid w:val="00571D0B"/>
    <w:rsid w:val="006F3F5C"/>
    <w:rsid w:val="006F49EF"/>
    <w:rsid w:val="00997DC0"/>
    <w:rsid w:val="00B214FA"/>
    <w:rsid w:val="00C1284D"/>
    <w:rsid w:val="00DE57CE"/>
    <w:rsid w:val="00E34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C5D17-0AD7-4C6C-B0E7-6B10A596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GB" w:eastAsia="en-US" w:bidi="ar-SA"/>
      </w:rPr>
    </w:rPrDefault>
    <w:pPrDefault>
      <w:pPr>
        <w:spacing w:line="360" w:lineRule="auto"/>
        <w:ind w:left="284"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kst"/>
    <w:qFormat/>
    <w:rsid w:val="00505AD5"/>
    <w:pPr>
      <w:ind w:left="0" w:firstLine="0"/>
    </w:pPr>
    <w:rPr>
      <w:lang w:val="et-EE"/>
    </w:rPr>
  </w:style>
  <w:style w:type="paragraph" w:styleId="Heading1">
    <w:name w:val="heading 1"/>
    <w:basedOn w:val="Normal"/>
    <w:next w:val="Normal"/>
    <w:link w:val="Heading1Char"/>
    <w:uiPriority w:val="9"/>
    <w:qFormat/>
    <w:rsid w:val="00DE57CE"/>
    <w:pPr>
      <w:keepNext/>
      <w:keepLines/>
      <w:outlineLvl w:val="0"/>
    </w:pPr>
    <w:rPr>
      <w:rFonts w:eastAsiaTheme="majorEastAsia" w:cstheme="majorBidi"/>
      <w:b/>
      <w:bCs/>
      <w:color w:val="000000" w:themeColor="text1"/>
      <w:sz w:val="28"/>
      <w:szCs w:val="28"/>
      <w:lang w:val="en-GB"/>
    </w:rPr>
  </w:style>
  <w:style w:type="paragraph" w:styleId="Heading2">
    <w:name w:val="heading 2"/>
    <w:aliases w:val="Pealkiri 2"/>
    <w:basedOn w:val="Normal"/>
    <w:next w:val="Normal"/>
    <w:link w:val="Heading2Char"/>
    <w:uiPriority w:val="9"/>
    <w:unhideWhenUsed/>
    <w:qFormat/>
    <w:rsid w:val="00DE57CE"/>
    <w:pPr>
      <w:keepNext/>
      <w:keepLines/>
      <w:outlineLvl w:val="1"/>
    </w:pPr>
    <w:rPr>
      <w:rFonts w:eastAsiaTheme="majorEastAsia" w:cstheme="majorHAnsi"/>
      <w:b/>
      <w:bCs/>
      <w:color w:val="000000" w:themeColor="text1"/>
      <w:szCs w:val="26"/>
      <w:lang w:val="en-GB"/>
    </w:rPr>
  </w:style>
  <w:style w:type="paragraph" w:styleId="Heading3">
    <w:name w:val="heading 3"/>
    <w:basedOn w:val="Normal"/>
    <w:next w:val="Normal"/>
    <w:link w:val="Heading3Char"/>
    <w:uiPriority w:val="9"/>
    <w:unhideWhenUsed/>
    <w:qFormat/>
    <w:rsid w:val="00DE57CE"/>
    <w:pPr>
      <w:keepNext/>
      <w:keepLines/>
      <w:outlineLvl w:val="2"/>
    </w:pPr>
    <w:rPr>
      <w:rFonts w:eastAsiaTheme="majorEastAsia" w:cstheme="majorHAnsi"/>
      <w:b/>
      <w:bCs/>
      <w:color w:val="000000" w:themeColor="text1"/>
      <w:lang w:val="en-GB"/>
    </w:rPr>
  </w:style>
  <w:style w:type="paragraph" w:styleId="Heading4">
    <w:name w:val="heading 4"/>
    <w:aliases w:val="Pealkiri 4"/>
    <w:basedOn w:val="Normal"/>
    <w:next w:val="Normal"/>
    <w:link w:val="Heading4Char"/>
    <w:uiPriority w:val="9"/>
    <w:unhideWhenUsed/>
    <w:qFormat/>
    <w:rsid w:val="00DE57CE"/>
    <w:pPr>
      <w:keepNext/>
      <w:keepLines/>
      <w:outlineLvl w:val="3"/>
    </w:pPr>
    <w:rPr>
      <w:rFonts w:eastAsiaTheme="majorEastAsia" w:cstheme="majorBidi"/>
      <w:b/>
      <w:bCs/>
      <w:iCs/>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7CE"/>
    <w:rPr>
      <w:rFonts w:eastAsiaTheme="majorEastAsia" w:cstheme="majorBidi"/>
      <w:b/>
      <w:bCs/>
      <w:color w:val="000000" w:themeColor="text1"/>
      <w:sz w:val="28"/>
      <w:szCs w:val="28"/>
    </w:rPr>
  </w:style>
  <w:style w:type="character" w:customStyle="1" w:styleId="Heading2Char">
    <w:name w:val="Heading 2 Char"/>
    <w:aliases w:val="Pealkiri 2 Char"/>
    <w:basedOn w:val="DefaultParagraphFont"/>
    <w:link w:val="Heading2"/>
    <w:uiPriority w:val="9"/>
    <w:rsid w:val="00DE57CE"/>
    <w:rPr>
      <w:rFonts w:eastAsiaTheme="majorEastAsia" w:cstheme="majorHAnsi"/>
      <w:b/>
      <w:bCs/>
      <w:color w:val="000000" w:themeColor="text1"/>
      <w:szCs w:val="26"/>
    </w:rPr>
  </w:style>
  <w:style w:type="paragraph" w:customStyle="1" w:styleId="Pealkiri3">
    <w:name w:val="Pealkiri 3"/>
    <w:link w:val="Pealkiri3Char"/>
    <w:qFormat/>
    <w:rsid w:val="00DE57CE"/>
    <w:rPr>
      <w:rFonts w:eastAsiaTheme="majorEastAsia" w:cstheme="majorBidi"/>
      <w:b/>
      <w:noProof/>
      <w:sz w:val="28"/>
      <w:szCs w:val="32"/>
      <w:lang w:val="et-EE"/>
    </w:rPr>
  </w:style>
  <w:style w:type="character" w:customStyle="1" w:styleId="Pealkiri3Char">
    <w:name w:val="Pealkiri 3 Char"/>
    <w:basedOn w:val="Heading1Char"/>
    <w:link w:val="Pealkiri3"/>
    <w:rsid w:val="00DE57CE"/>
    <w:rPr>
      <w:rFonts w:eastAsiaTheme="majorEastAsia" w:cstheme="majorBidi"/>
      <w:b/>
      <w:bCs/>
      <w:color w:val="000000" w:themeColor="text1"/>
      <w:sz w:val="28"/>
      <w:szCs w:val="28"/>
    </w:rPr>
  </w:style>
  <w:style w:type="paragraph" w:customStyle="1" w:styleId="Pealkiri1">
    <w:name w:val="Pealkiri 1"/>
    <w:link w:val="Pealkiri1Char"/>
    <w:qFormat/>
    <w:rsid w:val="00DE57CE"/>
    <w:pPr>
      <w:outlineLvl w:val="0"/>
    </w:pPr>
    <w:rPr>
      <w:rFonts w:eastAsiaTheme="majorEastAsia" w:cstheme="majorBidi"/>
      <w:b/>
      <w:noProof/>
      <w:sz w:val="28"/>
      <w:szCs w:val="32"/>
      <w:lang w:val="et-EE"/>
    </w:rPr>
  </w:style>
  <w:style w:type="character" w:customStyle="1" w:styleId="Pealkiri1Char">
    <w:name w:val="Pealkiri 1 Char"/>
    <w:basedOn w:val="Heading1Char"/>
    <w:link w:val="Pealkiri1"/>
    <w:rsid w:val="00DE57CE"/>
    <w:rPr>
      <w:rFonts w:eastAsiaTheme="majorEastAsia" w:cstheme="majorBidi"/>
      <w:b/>
      <w:bCs/>
      <w:color w:val="000000" w:themeColor="text1"/>
      <w:sz w:val="28"/>
      <w:szCs w:val="28"/>
    </w:rPr>
  </w:style>
  <w:style w:type="paragraph" w:styleId="NoSpacing">
    <w:name w:val="No Spacing"/>
    <w:aliases w:val="Tiitelleht"/>
    <w:uiPriority w:val="1"/>
    <w:qFormat/>
    <w:rsid w:val="00DE57CE"/>
    <w:pPr>
      <w:jc w:val="center"/>
    </w:pPr>
    <w:rPr>
      <w:lang w:val="et-EE"/>
    </w:rPr>
  </w:style>
  <w:style w:type="character" w:customStyle="1" w:styleId="Heading3Char">
    <w:name w:val="Heading 3 Char"/>
    <w:basedOn w:val="DefaultParagraphFont"/>
    <w:link w:val="Heading3"/>
    <w:uiPriority w:val="9"/>
    <w:rsid w:val="00DE57CE"/>
    <w:rPr>
      <w:rFonts w:eastAsiaTheme="majorEastAsia" w:cstheme="majorHAnsi"/>
      <w:b/>
      <w:bCs/>
      <w:color w:val="000000" w:themeColor="text1"/>
    </w:rPr>
  </w:style>
  <w:style w:type="character" w:customStyle="1" w:styleId="Heading4Char">
    <w:name w:val="Heading 4 Char"/>
    <w:aliases w:val="Pealkiri 4 Char"/>
    <w:basedOn w:val="DefaultParagraphFont"/>
    <w:link w:val="Heading4"/>
    <w:uiPriority w:val="9"/>
    <w:rsid w:val="00DE57CE"/>
    <w:rPr>
      <w:rFonts w:eastAsiaTheme="majorEastAsia" w:cstheme="majorBidi"/>
      <w:b/>
      <w:bCs/>
      <w:iCs/>
    </w:rPr>
  </w:style>
  <w:style w:type="table" w:styleId="TableGrid">
    <w:name w:val="Table Grid"/>
    <w:basedOn w:val="TableNormal"/>
    <w:uiPriority w:val="39"/>
    <w:rsid w:val="002149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5813">
      <w:bodyDiv w:val="1"/>
      <w:marLeft w:val="0"/>
      <w:marRight w:val="0"/>
      <w:marTop w:val="0"/>
      <w:marBottom w:val="0"/>
      <w:divBdr>
        <w:top w:val="none" w:sz="0" w:space="0" w:color="auto"/>
        <w:left w:val="none" w:sz="0" w:space="0" w:color="auto"/>
        <w:bottom w:val="none" w:sz="0" w:space="0" w:color="auto"/>
        <w:right w:val="none" w:sz="0" w:space="0" w:color="auto"/>
      </w:divBdr>
    </w:div>
    <w:div w:id="160380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MR</cp:lastModifiedBy>
  <cp:revision>1</cp:revision>
  <dcterms:created xsi:type="dcterms:W3CDTF">2017-01-08T14:43:00Z</dcterms:created>
  <dcterms:modified xsi:type="dcterms:W3CDTF">2017-01-08T15:06:00Z</dcterms:modified>
</cp:coreProperties>
</file>