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nil" w:color="FFFFFF" w:sz="0"/>
          <w:bottom w:val="single" w:color="003087" w:sz="16" w:space="4"/>
          <w:left w:val="nil" w:color="FFFFFF" w:sz="0"/>
          <w:right w:val="nil" w:color="FFFFFF" w:sz="0"/>
        </w:pBdr>
        <w:spacing w:before="0" w:after="120"/>
        <w:jc w:val="left"/>
      </w:pPr>
      <w:r>
        <w:rPr>
          <w:b/>
          <w:bCs/>
          <w:color w:val="003087"/>
          <w:sz w:val="64"/>
          <w:szCs w:val="64"/>
          <w:rFonts w:ascii="Arial" w:cs="Arial" w:eastAsia="Arial" w:hAnsi="Arial"/>
        </w:rPr>
        <w:t xml:space="preserve">Tata Consultancy Services</w:t>
      </w:r>
    </w:p>
    <w:p>
      <w:pPr>
        <w:spacing w:before="240" w:after="120"/>
        <w:jc w:val="left"/>
      </w:pPr>
      <w:r>
        <w:rPr>
          <w:color w:val="333333"/>
          <w:sz w:val="44"/>
          <w:szCs w:val="44"/>
          <w:rFonts w:ascii="Arial" w:cs="Arial" w:eastAsia="Arial" w:hAnsi="Arial"/>
        </w:rPr>
        <w:t xml:space="preserve">Integrated Annual Report</w:t>
      </w:r>
    </w:p>
    <w:p>
      <w:pPr>
        <w:spacing w:before="0" w:after="80"/>
        <w:jc w:val="left"/>
      </w:pPr>
      <w:r>
        <w:rPr>
          <w:color w:val="888888"/>
          <w:sz w:val="36"/>
          <w:szCs w:val="36"/>
          <w:rFonts w:ascii="Arial" w:cs="Arial" w:eastAsia="Arial" w:hAnsi="Arial"/>
        </w:rPr>
        <w:t xml:space="preserve">2024-25</w:t>
      </w:r>
    </w:p>
    <w:p>
      <w:pPr>
        <w:spacing w:before="480" w:after="0"/>
      </w:pPr>
    </w:p>
    <w:p>
      <w:pPr>
        <w:spacing w:before="0" w:after="0"/>
        <w:jc w:val="left"/>
      </w:pPr>
      <w:r>
        <w:rPr>
          <w:i/>
          <w:iCs/>
          <w:color w:val="555555"/>
          <w:sz w:val="26"/>
          <w:szCs w:val="26"/>
          <w:rFonts w:ascii="Georgia" w:cs="Georgia" w:eastAsia="Georgia" w:hAnsi="Georgia"/>
        </w:rPr>
        <w:t xml:space="preserve">Digital transformation and technology partner of choice for industry-leading organizations worldwide</w:t>
      </w:r>
    </w:p>
    <w:p>
      <w:pPr>
        <w:spacing w:before="720" w:after="0"/>
      </w:pPr>
    </w:p>
    <w:p>
      <w:pPr>
        <w:spacing w:before="0" w:after="0"/>
      </w:pPr>
      <w:r>
        <w:rPr>
          <w:color w:val="888888"/>
          <w:sz w:val="20"/>
          <w:szCs w:val="20"/>
          <w:rFonts w:ascii="Arial" w:cs="Arial" w:eastAsia="Arial" w:hAnsi="Arial"/>
        </w:rPr>
        <w:t xml:space="preserve">Prepared by  </w:t>
      </w:r>
      <w:r>
        <w:rPr>
          <w:b/>
          <w:bCs/>
          <w:color w:val="333333"/>
          <w:sz w:val="20"/>
          <w:szCs w:val="20"/>
          <w:rFonts w:ascii="Arial" w:cs="Arial" w:eastAsia="Arial" w:hAnsi="Arial"/>
        </w:rPr>
        <w:t xml:space="preserve">Tata Consultancy Services</w:t>
      </w:r>
    </w:p>
    <w:p>
      <w:r>
        <w:br w:type="page"/>
      </w:r>
    </w:p>
    <w:p>
      <w:pPr>
        <w:pStyle w:val="Heading1"/>
        <w:spacing w:before="0" w:after="240"/>
      </w:pPr>
      <w:r>
        <w:rPr>
          <w:b/>
          <w:bCs/>
          <w:color w:val="003087"/>
          <w:sz w:val="40"/>
          <w:szCs w:val="40"/>
          <w:rFonts w:ascii="Arial" w:cs="Arial" w:eastAsia="Arial" w:hAnsi="Arial"/>
        </w:rPr>
        <w:t xml:space="preserve">Contents</w:t>
      </w:r>
    </w:p>
    <w:sdt>
      <w:sdtPr>
        <w:alias w:val="TOC"/>
      </w:sdtPr>
      <w:sdtContent>
        <w:p>
          <w:r>
            <w:fldChar w:fldCharType="begin" w:dirty="true"/>
            <w:instrText xml:space="preserve">TOC \h \o "1-3" \t "Heading1,1,Heading2,2"</w:instrText>
            <w:fldChar w:fldCharType="separate"/>
          </w:r>
        </w:p>
        <w:p>
          <w:r>
            <w:fldChar w:fldCharType="end"/>
          </w:r>
        </w:p>
      </w:sdtContent>
    </w:sdt>
    <w:p>
      <w:r>
        <w:br w:type="page"/>
      </w:r>
    </w:p>
    <w:p>
      <w:pPr>
        <w:pStyle w:val="Heading1"/>
        <w:pageBreakBefore/>
        <w:pBdr>
          <w:top w:val="nil" w:color="FFFFFF" w:sz="0"/>
          <w:bottom w:val="single" w:color="003087" w:sz="16" w:space="4"/>
          <w:left w:val="nil" w:color="FFFFFF" w:sz="0"/>
          <w:right w:val="nil" w:color="FFFFFF" w:sz="0"/>
        </w:pBdr>
        <w:spacing w:before="0" w:after="200"/>
      </w:pPr>
      <w:r>
        <w:rPr>
          <w:b/>
          <w:bCs/>
          <w:color w:val="003087"/>
          <w:sz w:val="40"/>
          <w:szCs w:val="40"/>
          <w:rFonts w:ascii="Arial" w:cs="Arial" w:eastAsia="Arial" w:hAnsi="Arial"/>
        </w:rPr>
        <w:t xml:space="preserve">About TCS</w:t>
      </w:r>
    </w:p>
    <w:p>
      <w:pPr>
        <w:pStyle w:val="Heading2"/>
        <w:spacing w:before="240" w:after="120"/>
      </w:pPr>
      <w:r>
        <w:rPr>
          <w:b/>
          <w:bCs/>
          <w:color w:val="003087"/>
          <w:sz w:val="32"/>
          <w:szCs w:val="32"/>
          <w:rFonts w:ascii="Arial" w:cs="Arial" w:eastAsia="Arial" w:hAnsi="Arial"/>
        </w:rPr>
        <w:t xml:space="preserve">Company Overview</w:t>
      </w:r>
    </w:p>
    <w:p>
      <w:pPr>
        <w:spacing w:before="0" w:after="160"/>
      </w:pPr>
      <w:r>
        <w:rPr>
          <w:sz w:val="22"/>
          <w:szCs w:val="22"/>
          <w:rFonts w:ascii="Arial" w:cs="Arial" w:eastAsia="Arial" w:hAnsi="Arial"/>
        </w:rPr>
        <w:t xml:space="preserve">Tata Consultancy Services (TCS) is a digital transformation and technology partner of choice for industry-leading organizations worldwide. Since its inception in 1968, TCS has upheld the highest standards of innovation, engineering excellence and customer service.</w:t>
      </w:r>
    </w:p>
    <w:p>
      <w:pPr>
        <w:spacing w:before="0" w:after="160"/>
      </w:pPr>
      <w:r>
        <w:rPr>
          <w:sz w:val="22"/>
          <w:szCs w:val="22"/>
          <w:rFonts w:ascii="Arial" w:cs="Arial" w:eastAsia="Arial" w:hAnsi="Arial"/>
        </w:rPr>
        <w:t xml:space="preserve">Rooted in the heritage of the Tata Group, TCS is focused on creating long term value for its clients, its investors, its associates, and the community at large.</w:t>
      </w:r>
    </w:p>
    <w:p>
      <w:pPr>
        <w:pStyle w:val="Heading2"/>
        <w:spacing w:before="240" w:after="160"/>
      </w:pPr>
      <w:r>
        <w:rPr>
          <w:b/>
          <w:bCs/>
          <w:color w:val="003087"/>
          <w:sz w:val="32"/>
          <w:szCs w:val="32"/>
          <w:rFonts w:ascii="Arial" w:cs="Arial" w:eastAsia="Arial" w:hAnsi="Arial"/>
        </w:rPr>
        <w:t xml:space="preserve">Key Facts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Associates</w:t>
            </w:r>
          </w:p>
        </w:tc>
        <w:tc>
          <w:tcPr>
            <w:tcW w:type="dxa" w:w="2409"/>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Countries</w:t>
            </w:r>
          </w:p>
        </w:tc>
        <w:tc>
          <w:tcPr>
            <w:tcW w:type="dxa" w:w="2409"/>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Revenues (FY 2025)</w:t>
            </w:r>
          </w:p>
        </w:tc>
        <w:tc>
          <w:tcPr>
            <w:tcW w:type="dxa" w:w="2409"/>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Service Delivery Centres</w:t>
            </w:r>
          </w:p>
        </w:tc>
      </w:tr>
      <w:tr>
        <w:tc>
          <w:tcPr>
            <w:tcW w:type="dxa" w:w="2409"/>
            <w:tcBorders>
              <w:top w:val="nil" w:color="FFFFFF" w:sz="0"/>
              <w:left w:val="nil" w:color="FFFFFF" w:sz="0"/>
              <w:bottom w:val="nil" w:color="FFFFFF" w:sz="0"/>
              <w:right w:val="nil" w:color="FFFFFF" w:sz="0"/>
            </w:tcBorders>
            <w:shd w:fill="00AEEF"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607,000+</w:t>
            </w:r>
          </w:p>
        </w:tc>
        <w:tc>
          <w:tcPr>
            <w:tcW w:type="dxa" w:w="2409"/>
            <w:tcBorders>
              <w:top w:val="nil" w:color="FFFFFF" w:sz="0"/>
              <w:left w:val="nil" w:color="FFFFFF" w:sz="0"/>
              <w:bottom w:val="nil" w:color="FFFFFF" w:sz="0"/>
              <w:right w:val="nil" w:color="FFFFFF" w:sz="0"/>
            </w:tcBorders>
            <w:shd w:fill="00AEEF"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55</w:t>
            </w:r>
          </w:p>
        </w:tc>
        <w:tc>
          <w:tcPr>
            <w:tcW w:type="dxa" w:w="2409"/>
            <w:tcBorders>
              <w:top w:val="nil" w:color="FFFFFF" w:sz="0"/>
              <w:left w:val="nil" w:color="FFFFFF" w:sz="0"/>
              <w:bottom w:val="nil" w:color="FFFFFF" w:sz="0"/>
              <w:right w:val="nil" w:color="FFFFFF" w:sz="0"/>
            </w:tcBorders>
            <w:shd w:fill="00AEEF"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US $30 billion</w:t>
            </w:r>
          </w:p>
        </w:tc>
        <w:tc>
          <w:tcPr>
            <w:tcW w:type="dxa" w:w="2409"/>
            <w:tcBorders>
              <w:top w:val="nil" w:color="FFFFFF" w:sz="0"/>
              <w:left w:val="nil" w:color="FFFFFF" w:sz="0"/>
              <w:bottom w:val="nil" w:color="FFFFFF" w:sz="0"/>
              <w:right w:val="nil" w:color="FFFFFF" w:sz="0"/>
            </w:tcBorders>
            <w:shd w:fill="00AEEF"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200+</w:t>
            </w:r>
          </w:p>
        </w:tc>
      </w:tr>
    </w:tbl>
    <w:p>
      <w:pPr>
        <w:spacing w:before="0" w:after="240"/>
      </w:pPr>
    </w:p>
    <w:p>
      <w:pPr>
        <w:pStyle w:val="Heading2"/>
        <w:spacing w:before="240" w:after="160"/>
      </w:pPr>
      <w:r>
        <w:rPr>
          <w:b/>
          <w:bCs/>
          <w:color w:val="003087"/>
          <w:sz w:val="32"/>
          <w:szCs w:val="32"/>
          <w:rFonts w:ascii="Arial" w:cs="Arial" w:eastAsia="Arial" w:hAnsi="Arial"/>
        </w:rPr>
        <w:t xml:space="preserve">Our Global Presence</w:t>
      </w:r>
    </w:p>
    <w:p>
      <w:r>
        <w:rPr>
          <w:i/>
          <w:iCs/>
          <w:color w:val="999999"/>
          <w:sz w:val="20"/>
          <w:szCs w:val="20"/>
          <w:rFonts w:ascii="Arial" w:cs="Arial" w:eastAsia="Arial" w:hAnsi="Arial"/>
        </w:rPr>
        <w:t xml:space="preserve">[Image not found: images/global-map.png]</w:t>
      </w:r>
    </w:p>
    <w:p>
      <w:pPr>
        <w:spacing w:before="80" w:after="200"/>
        <w:jc w:val="center"/>
      </w:pPr>
      <w:r>
        <w:rPr>
          <w:i/>
          <w:iCs/>
          <w:color w:val="777777"/>
          <w:sz w:val="18"/>
          <w:szCs w:val="18"/>
          <w:rFonts w:ascii="Arial" w:cs="Arial" w:eastAsia="Arial" w:hAnsi="Arial"/>
        </w:rPr>
        <w:t xml:space="preserve">6 continents • 152 nationalities • 607,000+ associates</w:t>
      </w:r>
    </w:p>
    <w:p>
      <w:pPr>
        <w:pStyle w:val="Heading1"/>
        <w:pageBreakBefore/>
        <w:pBdr>
          <w:top w:val="nil" w:color="FFFFFF" w:sz="0"/>
          <w:bottom w:val="single" w:color="003087" w:sz="16" w:space="4"/>
          <w:left w:val="nil" w:color="FFFFFF" w:sz="0"/>
          <w:right w:val="nil" w:color="FFFFFF" w:sz="0"/>
        </w:pBdr>
        <w:spacing w:before="0" w:after="200"/>
      </w:pPr>
      <w:r>
        <w:rPr>
          <w:b/>
          <w:bCs/>
          <w:color w:val="003087"/>
          <w:sz w:val="40"/>
          <w:szCs w:val="40"/>
          <w:rFonts w:ascii="Arial" w:cs="Arial" w:eastAsia="Arial" w:hAnsi="Arial"/>
        </w:rPr>
        <w:t xml:space="preserve">Perpetually Adaptive Enterprise</w:t>
      </w:r>
    </w:p>
    <w:p>
      <w:pPr>
        <w:pStyle w:val="Heading2"/>
        <w:spacing w:before="240" w:after="120"/>
      </w:pPr>
      <w:r>
        <w:rPr>
          <w:b/>
          <w:bCs/>
          <w:color w:val="003087"/>
          <w:sz w:val="32"/>
          <w:szCs w:val="32"/>
          <w:rFonts w:ascii="Arial" w:cs="Arial" w:eastAsia="Arial" w:hAnsi="Arial"/>
        </w:rPr>
        <w:t xml:space="preserve">Theme of the Year</w:t>
      </w:r>
    </w:p>
    <w:p>
      <w:pPr>
        <w:spacing w:before="0" w:after="160"/>
      </w:pPr>
      <w:r>
        <w:rPr>
          <w:sz w:val="22"/>
          <w:szCs w:val="22"/>
          <w:rFonts w:ascii="Arial" w:cs="Arial" w:eastAsia="Arial" w:hAnsi="Arial"/>
        </w:rPr>
        <w:t xml:space="preserve">The TCS FY 2024-25 Integrated Annual Report highlights the rapidly changing world and role of technology in addressing business problems. Recent years have seen unabating transformation, driven by emerging technologies, geopolitical dynamics, and shifting consumer expectations.</w:t>
      </w:r>
    </w:p>
    <w:p>
      <w:pPr>
        <w:pStyle w:val="Heading2"/>
        <w:spacing w:before="240" w:after="160"/>
      </w:pPr>
      <w:r>
        <w:rPr>
          <w:b/>
          <w:bCs/>
          <w:color w:val="003087"/>
          <w:sz w:val="32"/>
          <w:szCs w:val="32"/>
          <w:rFonts w:ascii="Arial" w:cs="Arial" w:eastAsia="Arial" w:hAnsi="Arial"/>
        </w:rPr>
        <w:t xml:space="preserve">Annual Report Themes Evolution</w:t>
      </w:r>
    </w:p>
    <w:p>
      <w:r>
        <w:rPr>
          <w:i/>
          <w:iCs/>
          <w:color w:val="999999"/>
          <w:sz w:val="20"/>
          <w:szCs w:val="20"/>
          <w:rFonts w:ascii="Arial" w:cs="Arial" w:eastAsia="Arial" w:hAnsi="Arial"/>
        </w:rPr>
        <w:t xml:space="preserve">[Chart: Annual Report Themes Evolution — rendering unavailable]</w:t>
      </w:r>
    </w:p>
    <w:p>
      <w:pPr>
        <w:spacing w:before="80" w:after="200"/>
        <w:jc w:val="center"/>
      </w:pPr>
      <w:r>
        <w:rPr>
          <w:i/>
          <w:iCs/>
          <w:color w:val="777777"/>
          <w:sz w:val="18"/>
          <w:szCs w:val="18"/>
          <w:rFonts w:ascii="Arial" w:cs="Arial" w:eastAsia="Arial" w:hAnsi="Arial"/>
        </w:rPr>
        <w:t xml:space="preserve">Journey towards perpetual adaptability</w:t>
      </w:r>
    </w:p>
    <w:p>
      <w:pPr>
        <w:pStyle w:val="Heading1"/>
        <w:pageBreakBefore/>
        <w:pBdr>
          <w:top w:val="nil" w:color="FFFFFF" w:sz="0"/>
          <w:bottom w:val="single" w:color="003087" w:sz="16" w:space="4"/>
          <w:left w:val="nil" w:color="FFFFFF" w:sz="0"/>
          <w:right w:val="nil" w:color="FFFFFF" w:sz="0"/>
        </w:pBdr>
        <w:spacing w:before="0" w:after="200"/>
      </w:pPr>
      <w:r>
        <w:rPr>
          <w:b/>
          <w:bCs/>
          <w:color w:val="003087"/>
          <w:sz w:val="40"/>
          <w:szCs w:val="40"/>
          <w:rFonts w:ascii="Arial" w:cs="Arial" w:eastAsia="Arial" w:hAnsi="Arial"/>
        </w:rPr>
        <w:t xml:space="preserve">Board of Directors</w:t>
      </w:r>
    </w:p>
    <w:p>
      <w:pPr>
        <w:pStyle w:val="Heading2"/>
        <w:spacing w:before="240" w:after="160"/>
      </w:pPr>
      <w:r>
        <w:rPr>
          <w:b/>
          <w:bCs/>
          <w:color w:val="003087"/>
          <w:sz w:val="32"/>
          <w:szCs w:val="32"/>
          <w:rFonts w:ascii="Arial" w:cs="Arial" w:eastAsia="Arial" w:hAnsi="Arial"/>
        </w:rPr>
        <w:t xml:space="preserve">Board Composition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Fonts w:ascii="Arial" w:cs="Arial" w:eastAsia="Arial" w:hAnsi="Arial"/>
              </w:rPr>
              <w:t xml:space="preserve">Name</w:t>
            </w:r>
          </w:p>
        </w:tc>
        <w:tc>
          <w:tcPr>
            <w:tcW w:type="dxa" w:w="3212"/>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Fonts w:ascii="Arial" w:cs="Arial" w:eastAsia="Arial" w:hAnsi="Arial"/>
              </w:rPr>
              <w:t xml:space="preserve">Role</w:t>
            </w:r>
          </w:p>
        </w:tc>
        <w:tc>
          <w:tcPr>
            <w:tcW w:type="dxa" w:w="3212"/>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b/>
                <w:bCs/>
                <w:color w:val="FFFFFF"/>
                <w:sz w:val="20"/>
                <w:szCs w:val="20"/>
                <w:rFonts w:ascii="Arial" w:cs="Arial" w:eastAsia="Arial" w:hAnsi="Arial"/>
              </w:rPr>
              <w:t xml:space="preserve">Category</w:t>
            </w:r>
          </w:p>
        </w:tc>
      </w:tr>
      <w:tr>
        <w:tc>
          <w:tcPr>
            <w:tcW w:type="dxa" w:w="32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N Chandrasekaran</w:t>
            </w:r>
          </w:p>
        </w:tc>
        <w:tc>
          <w:tcPr>
            <w:tcW w:type="dxa" w:w="32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Chairman</w:t>
            </w:r>
          </w:p>
        </w:tc>
        <w:tc>
          <w:tcPr>
            <w:tcW w:type="dxa" w:w="32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Non-Independent, Non-Executive</w:t>
            </w:r>
          </w:p>
        </w:tc>
      </w:tr>
      <w:tr>
        <w:tc>
          <w:tcPr>
            <w:tcW w:type="dxa" w:w="3212"/>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K Krithivasan</w:t>
            </w:r>
          </w:p>
        </w:tc>
        <w:tc>
          <w:tcPr>
            <w:tcW w:type="dxa" w:w="3212"/>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CEO &amp; MD</w:t>
            </w:r>
          </w:p>
        </w:tc>
        <w:tc>
          <w:tcPr>
            <w:tcW w:type="dxa" w:w="3212"/>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Non-Independent, Executive</w:t>
            </w:r>
          </w:p>
        </w:tc>
      </w:tr>
      <w:tr>
        <w:tc>
          <w:tcPr>
            <w:tcW w:type="dxa" w:w="32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Dr Pradeep Kumar Khosla</w:t>
            </w:r>
          </w:p>
        </w:tc>
        <w:tc>
          <w:tcPr>
            <w:tcW w:type="dxa" w:w="32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Independent Director</w:t>
            </w:r>
          </w:p>
        </w:tc>
        <w:tc>
          <w:tcPr>
            <w:tcW w:type="dxa" w:w="321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Independent, Non-Executive</w:t>
            </w:r>
          </w:p>
        </w:tc>
      </w:tr>
      <w:tr>
        <w:tc>
          <w:tcPr>
            <w:tcW w:type="dxa" w:w="3212"/>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Hanne Sorensen</w:t>
            </w:r>
          </w:p>
        </w:tc>
        <w:tc>
          <w:tcPr>
            <w:tcW w:type="dxa" w:w="3212"/>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Independent Director</w:t>
            </w:r>
          </w:p>
        </w:tc>
        <w:tc>
          <w:tcPr>
            <w:tcW w:type="dxa" w:w="3212"/>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Independent, Non-Executive</w:t>
            </w:r>
          </w:p>
        </w:tc>
      </w:tr>
    </w:tbl>
    <w:p>
      <w:pPr>
        <w:spacing w:before="0" w:after="200"/>
      </w:pPr>
    </w:p>
    <w:p>
      <w:pPr>
        <w:pStyle w:val="Heading2"/>
        <w:spacing w:before="240" w:after="160"/>
      </w:pPr>
      <w:r>
        <w:rPr>
          <w:b/>
          <w:bCs/>
          <w:color w:val="003087"/>
          <w:sz w:val="32"/>
          <w:szCs w:val="32"/>
          <w:rFonts w:ascii="Arial" w:cs="Arial" w:eastAsia="Arial" w:hAnsi="Arial"/>
        </w:rPr>
        <w:t xml:space="preserve">Board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Average Age</w:t>
            </w:r>
          </w:p>
        </w:tc>
        <w:tc>
          <w:tcPr>
            <w:tcW w:type="dxa" w:w="3212"/>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Average Tenure</w:t>
            </w:r>
          </w:p>
        </w:tc>
        <w:tc>
          <w:tcPr>
            <w:tcW w:type="dxa" w:w="3212"/>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Board Independence</w:t>
            </w:r>
          </w:p>
        </w:tc>
      </w:tr>
      <w:tr>
        <w:tc>
          <w:tcPr>
            <w:tcW w:type="dxa" w:w="3212"/>
            <w:tcBorders>
              <w:top w:val="nil" w:color="FFFFFF" w:sz="0"/>
              <w:left w:val="nil" w:color="FFFFFF" w:sz="0"/>
              <w:bottom w:val="nil" w:color="FFFFFF" w:sz="0"/>
              <w:right w:val="nil" w:color="FFFFFF" w:sz="0"/>
            </w:tcBorders>
            <w:shd w:fill="00AEEF"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63 years</w:t>
            </w:r>
          </w:p>
        </w:tc>
        <w:tc>
          <w:tcPr>
            <w:tcW w:type="dxa" w:w="3212"/>
            <w:tcBorders>
              <w:top w:val="nil" w:color="FFFFFF" w:sz="0"/>
              <w:left w:val="nil" w:color="FFFFFF" w:sz="0"/>
              <w:bottom w:val="nil" w:color="FFFFFF" w:sz="0"/>
              <w:right w:val="nil" w:color="FFFFFF" w:sz="0"/>
            </w:tcBorders>
            <w:shd w:fill="00AEEF"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6 years</w:t>
            </w:r>
          </w:p>
        </w:tc>
        <w:tc>
          <w:tcPr>
            <w:tcW w:type="dxa" w:w="3212"/>
            <w:tcBorders>
              <w:top w:val="nil" w:color="FFFFFF" w:sz="0"/>
              <w:left w:val="nil" w:color="FFFFFF" w:sz="0"/>
              <w:bottom w:val="nil" w:color="FFFFFF" w:sz="0"/>
              <w:right w:val="nil" w:color="FFFFFF" w:sz="0"/>
            </w:tcBorders>
            <w:shd w:fill="00AEEF"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62.5%</w:t>
            </w:r>
          </w:p>
        </w:tc>
      </w:tr>
    </w:tbl>
    <w:p>
      <w:pPr>
        <w:spacing w:before="0" w:after="240"/>
      </w:pPr>
    </w:p>
    <w:p>
      <w:pPr>
        <w:pStyle w:val="Heading1"/>
        <w:pageBreakBefore/>
        <w:pBdr>
          <w:top w:val="nil" w:color="FFFFFF" w:sz="0"/>
          <w:bottom w:val="single" w:color="003087" w:sz="16" w:space="4"/>
          <w:left w:val="nil" w:color="FFFFFF" w:sz="0"/>
          <w:right w:val="nil" w:color="FFFFFF" w:sz="0"/>
        </w:pBdr>
        <w:spacing w:before="0" w:after="200"/>
      </w:pPr>
      <w:r>
        <w:rPr>
          <w:b/>
          <w:bCs/>
          <w:color w:val="003087"/>
          <w:sz w:val="40"/>
          <w:szCs w:val="40"/>
          <w:rFonts w:ascii="Arial" w:cs="Arial" w:eastAsia="Arial" w:hAnsi="Arial"/>
        </w:rPr>
        <w:t xml:space="preserve">Letter from the Chairman</w:t>
      </w:r>
    </w:p>
    <w:p>
      <w:pPr>
        <w:pStyle w:val="Heading2"/>
        <w:spacing w:before="240" w:after="120"/>
      </w:pPr>
      <w:r>
        <w:rPr>
          <w:b/>
          <w:bCs/>
          <w:color w:val="003087"/>
          <w:sz w:val="32"/>
          <w:szCs w:val="32"/>
          <w:rFonts w:ascii="Arial" w:cs="Arial" w:eastAsia="Arial" w:hAnsi="Arial"/>
        </w:rPr>
      </w:r>
    </w:p>
    <w:p>
      <w:pPr>
        <w:spacing w:before="0" w:after="160"/>
      </w:pPr>
      <w:r>
        <w:rPr>
          <w:sz w:val="22"/>
          <w:szCs w:val="22"/>
          <w:rFonts w:ascii="Arial" w:cs="Arial" w:eastAsia="Arial" w:hAnsi="Arial"/>
        </w:rPr>
        <w:t xml:space="preserve">The single most transformative force in 2024 was Generative AI. GenAI is not just another tech cycle—it is a civilizational shift.</w:t>
      </w:r>
    </w:p>
    <w:p>
      <w:pPr>
        <w:spacing w:before="0" w:after="160"/>
      </w:pPr>
      <w:r>
        <w:rPr>
          <w:sz w:val="22"/>
          <w:szCs w:val="22"/>
          <w:rFonts w:ascii="Arial" w:cs="Arial" w:eastAsia="Arial" w:hAnsi="Arial"/>
        </w:rPr>
        <w:t xml:space="preserve">I believe every industry stands to benefit from GenAI.</w:t>
      </w:r>
    </w:p>
    <w:p>
      <w:pPr>
        <w:pBdr>
          <w:top w:val="nil" w:color="FFFFFF" w:sz="0"/>
          <w:bottom w:val="nil" w:color="FFFFFF" w:sz="0"/>
          <w:left w:val="single" w:color="003087" w:sz="20" w:space="12"/>
          <w:right w:val="nil" w:color="FFFFFF" w:sz="0"/>
        </w:pBdr>
        <w:spacing w:before="200" w:after="200"/>
        <w:ind w:left="720" w:right="720"/>
      </w:pPr>
      <w:r>
        <w:rPr>
          <w:i/>
          <w:iCs/>
          <w:color w:val="444444"/>
          <w:sz w:val="26"/>
          <w:szCs w:val="26"/>
          <w:rFonts w:ascii="Georgia" w:cs="Georgia" w:eastAsia="Georgia" w:hAnsi="Georgia"/>
        </w:rPr>
        <w:t xml:space="preserve">"The single most transformative force in 2024 was Generative AI. GenAI is not just another tech cycle—it is a civilizational shift."</w:t>
      </w:r>
    </w:p>
    <w:p>
      <w:pPr>
        <w:pStyle w:val="Heading1"/>
        <w:pageBreakBefore/>
        <w:pBdr>
          <w:top w:val="nil" w:color="FFFFFF" w:sz="0"/>
          <w:bottom w:val="single" w:color="003087" w:sz="16" w:space="4"/>
          <w:left w:val="nil" w:color="FFFFFF" w:sz="0"/>
          <w:right w:val="nil" w:color="FFFFFF" w:sz="0"/>
        </w:pBdr>
        <w:spacing w:before="0" w:after="200"/>
      </w:pPr>
      <w:r>
        <w:rPr>
          <w:b/>
          <w:bCs/>
          <w:color w:val="003087"/>
          <w:sz w:val="40"/>
          <w:szCs w:val="40"/>
          <w:rFonts w:ascii="Arial" w:cs="Arial" w:eastAsia="Arial" w:hAnsi="Arial"/>
        </w:rPr>
        <w:t xml:space="preserve">Letter from the CEO</w:t>
      </w:r>
    </w:p>
    <w:p>
      <w:pPr>
        <w:pStyle w:val="Heading2"/>
        <w:spacing w:before="240" w:after="120"/>
      </w:pPr>
      <w:r>
        <w:rPr>
          <w:b/>
          <w:bCs/>
          <w:color w:val="003087"/>
          <w:sz w:val="32"/>
          <w:szCs w:val="32"/>
          <w:rFonts w:ascii="Arial" w:cs="Arial" w:eastAsia="Arial" w:hAnsi="Arial"/>
        </w:rPr>
      </w:r>
    </w:p>
    <w:p>
      <w:pPr>
        <w:spacing w:before="0" w:after="160"/>
      </w:pPr>
      <w:r>
        <w:rPr>
          <w:sz w:val="22"/>
          <w:szCs w:val="22"/>
          <w:rFonts w:ascii="Arial" w:cs="Arial" w:eastAsia="Arial" w:hAnsi="Arial"/>
        </w:rPr>
        <w:t xml:space="preserve">I am pleased to share that in FY 2025, we achieved two extraordinary milestones crossing the US$30 billion mark in revenues and the US$20 billion mark in brand value.</w:t>
      </w:r>
    </w:p>
    <w:p>
      <w:pPr>
        <w:pBdr>
          <w:top w:val="nil" w:color="FFFFFF" w:sz="0"/>
          <w:bottom w:val="nil" w:color="FFFFFF" w:sz="0"/>
          <w:left w:val="single" w:color="003087" w:sz="20" w:space="12"/>
          <w:right w:val="nil" w:color="FFFFFF" w:sz="0"/>
        </w:pBdr>
        <w:spacing w:before="200" w:after="200"/>
        <w:ind w:left="720" w:right="720"/>
      </w:pPr>
      <w:r>
        <w:rPr>
          <w:i/>
          <w:iCs/>
          <w:color w:val="444444"/>
          <w:sz w:val="26"/>
          <w:szCs w:val="26"/>
          <w:rFonts w:ascii="Georgia" w:cs="Georgia" w:eastAsia="Georgia" w:hAnsi="Georgia"/>
        </w:rPr>
        <w:t xml:space="preserve">"Significant innovation is happening in the AI ecosystem across infrastructure, data platforms, models and AI native business applications."</w:t>
      </w:r>
    </w:p>
    <w:p>
      <w:pPr>
        <w:pStyle w:val="Heading2"/>
        <w:spacing w:before="240" w:after="160"/>
      </w:pPr>
      <w:r>
        <w:rPr>
          <w:b/>
          <w:bCs/>
          <w:color w:val="003087"/>
          <w:sz w:val="32"/>
          <w:szCs w:val="32"/>
          <w:rFonts w:ascii="Arial" w:cs="Arial" w:eastAsia="Arial" w:hAnsi="Arial"/>
        </w:rPr>
        <w:t xml:space="preserve">FY 2025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Revenue</w:t>
            </w:r>
          </w:p>
        </w:tc>
        <w:tc>
          <w:tcPr>
            <w:tcW w:type="dxa" w:w="3212"/>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Operating Margin</w:t>
            </w:r>
          </w:p>
        </w:tc>
        <w:tc>
          <w:tcPr>
            <w:tcW w:type="dxa" w:w="3212"/>
            <w:tcBorders>
              <w:top w:val="nil" w:color="FFFFFF" w:sz="0"/>
              <w:left w:val="nil" w:color="FFFFFF" w:sz="0"/>
              <w:bottom w:val="nil" w:color="FFFFFF" w:sz="0"/>
              <w:right w:val="nil" w:color="FFFFFF" w:sz="0"/>
            </w:tcBorders>
            <w:shd w:fill="003087"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Dividend per Share</w:t>
            </w:r>
          </w:p>
        </w:tc>
      </w:tr>
      <w:tr>
        <w:tc>
          <w:tcPr>
            <w:tcW w:type="dxa" w:w="3212"/>
            <w:tcBorders>
              <w:top w:val="nil" w:color="FFFFFF" w:sz="0"/>
              <w:left w:val="nil" w:color="FFFFFF" w:sz="0"/>
              <w:bottom w:val="nil" w:color="FFFFFF" w:sz="0"/>
              <w:right w:val="nil" w:color="FFFFFF" w:sz="0"/>
            </w:tcBorders>
            <w:shd w:fill="00AEEF"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₹255,324 crore</w:t>
            </w:r>
          </w:p>
          <w:p>
            <w:pPr>
              <w:jc w:val="center"/>
            </w:pPr>
            <w:r>
              <w:rPr>
                <w:b/>
                <w:bCs/>
                <w:color w:val="2E7D32"/>
                <w:sz w:val="18"/>
                <w:szCs w:val="18"/>
                <w:rFonts w:ascii="Arial" w:cs="Arial" w:eastAsia="Arial" w:hAnsi="Arial"/>
              </w:rPr>
              <w:t xml:space="preserve">+6.0%</w:t>
            </w:r>
          </w:p>
        </w:tc>
        <w:tc>
          <w:tcPr>
            <w:tcW w:type="dxa" w:w="3212"/>
            <w:tcBorders>
              <w:top w:val="nil" w:color="FFFFFF" w:sz="0"/>
              <w:left w:val="nil" w:color="FFFFFF" w:sz="0"/>
              <w:bottom w:val="nil" w:color="FFFFFF" w:sz="0"/>
              <w:right w:val="nil" w:color="FFFFFF" w:sz="0"/>
            </w:tcBorders>
            <w:shd w:fill="00AEEF"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24.3%</w:t>
            </w:r>
          </w:p>
        </w:tc>
        <w:tc>
          <w:tcPr>
            <w:tcW w:type="dxa" w:w="3212"/>
            <w:tcBorders>
              <w:top w:val="nil" w:color="FFFFFF" w:sz="0"/>
              <w:left w:val="nil" w:color="FFFFFF" w:sz="0"/>
              <w:bottom w:val="nil" w:color="FFFFFF" w:sz="0"/>
              <w:right w:val="nil" w:color="FFFFFF" w:sz="0"/>
            </w:tcBorders>
            <w:shd w:fill="00AEEF"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₹126</w:t>
            </w:r>
          </w:p>
        </w:tc>
      </w:tr>
    </w:tbl>
    <w:p>
      <w:pPr>
        <w:spacing w:before="0" w:after="240"/>
      </w:pPr>
    </w:p>
    <w:p>
      <w:pPr>
        <w:pStyle w:val="Heading1"/>
        <w:pageBreakBefore/>
        <w:pBdr>
          <w:top w:val="nil" w:color="FFFFFF" w:sz="0"/>
          <w:bottom w:val="single" w:color="003087" w:sz="16" w:space="4"/>
          <w:left w:val="nil" w:color="FFFFFF" w:sz="0"/>
          <w:right w:val="nil" w:color="FFFFFF" w:sz="0"/>
        </w:pBdr>
        <w:spacing w:before="0" w:after="200"/>
      </w:pPr>
      <w:r>
        <w:rPr>
          <w:b/>
          <w:bCs/>
          <w:color w:val="003087"/>
          <w:sz w:val="40"/>
          <w:szCs w:val="40"/>
          <w:rFonts w:ascii="Arial" w:cs="Arial" w:eastAsia="Arial" w:hAnsi="Arial"/>
        </w:rPr>
        <w:t xml:space="preserve">The Year Gone By – Q4</w:t>
      </w:r>
    </w:p>
    <w:p>
      <w:pPr>
        <w:pStyle w:val="Heading2"/>
        <w:spacing w:before="240" w:after="120"/>
      </w:pPr>
      <w:r>
        <w:rPr>
          <w:b/>
          <w:bCs/>
          <w:color w:val="003087"/>
          <w:sz w:val="32"/>
          <w:szCs w:val="32"/>
          <w:rFonts w:ascii="Arial" w:cs="Arial" w:eastAsia="Arial" w:hAnsi="Arial"/>
        </w:rPr>
        <w:t xml:space="preserve">Key Highlights</w:t>
      </w:r>
    </w:p>
    <w:p>
      <w:pPr>
        <w:pStyle w:val="ListParagraph"/>
        <w:numPr>
          <w:ilvl w:val="0"/>
          <w:numId w:val="2"/>
        </w:numPr>
        <w:spacing w:before="40" w:after="40"/>
      </w:pPr>
      <w:r>
        <w:rPr>
          <w:sz w:val="22"/>
          <w:szCs w:val="22"/>
          <w:rFonts w:ascii="Arial" w:cs="Arial" w:eastAsia="Arial" w:hAnsi="Arial"/>
        </w:rPr>
        <w:t xml:space="preserve">Final dividend of ₹30 per share</w:t>
      </w:r>
    </w:p>
    <w:p>
      <w:pPr>
        <w:pStyle w:val="ListParagraph"/>
        <w:numPr>
          <w:ilvl w:val="0"/>
          <w:numId w:val="2"/>
        </w:numPr>
        <w:spacing w:before="40" w:after="40"/>
      </w:pPr>
      <w:r>
        <w:rPr>
          <w:sz w:val="22"/>
          <w:szCs w:val="22"/>
          <w:rFonts w:ascii="Arial" w:cs="Arial" w:eastAsia="Arial" w:hAnsi="Arial"/>
        </w:rPr>
        <w:t xml:space="preserve">Partnership with Northern Trust for global securities platform</w:t>
      </w:r>
    </w:p>
    <w:p>
      <w:pPr>
        <w:pStyle w:val="ListParagraph"/>
        <w:numPr>
          <w:ilvl w:val="0"/>
          <w:numId w:val="2"/>
        </w:numPr>
        <w:spacing w:before="40" w:after="40"/>
      </w:pPr>
      <w:r>
        <w:rPr>
          <w:sz w:val="22"/>
          <w:szCs w:val="22"/>
          <w:rFonts w:ascii="Arial" w:cs="Arial" w:eastAsia="Arial" w:hAnsi="Arial"/>
        </w:rPr>
        <w:t xml:space="preserve">Strategic collaboration with DNB</w:t>
      </w:r>
    </w:p>
    <w:p>
      <w:pPr>
        <w:pStyle w:val="ListParagraph"/>
        <w:numPr>
          <w:ilvl w:val="0"/>
          <w:numId w:val="2"/>
        </w:numPr>
        <w:spacing w:before="40" w:after="40"/>
      </w:pPr>
      <w:r>
        <w:rPr>
          <w:sz w:val="22"/>
          <w:szCs w:val="22"/>
          <w:rFonts w:ascii="Arial" w:cs="Arial" w:eastAsia="Arial" w:hAnsi="Arial"/>
        </w:rPr>
        <w:t xml:space="preserve">Partnership with MassRobotics</w:t>
      </w:r>
    </w:p>
    <w:p>
      <w:pPr>
        <w:pStyle w:val="ListParagraph"/>
        <w:numPr>
          <w:ilvl w:val="0"/>
          <w:numId w:val="2"/>
        </w:numPr>
        <w:spacing w:before="40" w:after="40"/>
      </w:pPr>
      <w:r>
        <w:rPr>
          <w:sz w:val="22"/>
          <w:szCs w:val="22"/>
          <w:rFonts w:ascii="Arial" w:cs="Arial" w:eastAsia="Arial" w:hAnsi="Arial"/>
        </w:rPr>
        <w:t xml:space="preserve">Five-year partnership with Air New Zealand</w:t>
      </w:r>
    </w:p>
    <w:p>
      <w:pPr>
        <w:pStyle w:val="ListParagraph"/>
        <w:numPr>
          <w:ilvl w:val="0"/>
          <w:numId w:val="2"/>
        </w:numPr>
        <w:spacing w:before="40" w:after="40"/>
      </w:pPr>
      <w:r>
        <w:rPr>
          <w:sz w:val="22"/>
          <w:szCs w:val="22"/>
          <w:rFonts w:ascii="Arial" w:cs="Arial" w:eastAsia="Arial" w:hAnsi="Arial"/>
        </w:rPr>
        <w:t xml:space="preserve">TCS named in FORTUNE® World's Most Admired Companies 2025</w:t>
      </w:r>
    </w:p>
    <w:p>
      <w:pPr>
        <w:spacing w:before="0" w:after="1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bottom w:val="nil" w:color="FFFFFF" w:sz="0"/>
        <w:left w:val="nil" w:color="FFFFFF" w:sz="0"/>
        <w:right w:val="nil" w:color="FFFFFF" w:sz="0"/>
      </w:pBdr>
      <w:tabs>
        <w:tab w:val="right" w:pos="9026"/>
      </w:tabs>
      <w:spacing w:before="80" w:after="0"/>
    </w:pPr>
    <w:r>
      <w:rPr>
        <w:color w:val="AAAAAA"/>
        <w:sz w:val="16"/>
        <w:szCs w:val="16"/>
        <w:rFonts w:ascii="Arial" w:cs="Arial" w:eastAsia="Arial" w:hAnsi="Arial"/>
      </w:rPr>
      <w:t xml:space="preserve">www.tcs.com</w:t>
    </w:r>
    <w:r>
      <w:rPr>
        <w:color w:val="888888"/>
        <w:sz w:val="16"/>
        <w:szCs w:val="16"/>
        <w:rFonts w:ascii="Arial" w:cs="Arial" w:eastAsia="Arial" w:hAnsi="Arial"/>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il" w:color="FFFFFF" w:sz="0"/>
        <w:bottom w:val="single" w:color="003087" w:sz="6" w:space="4"/>
        <w:left w:val="nil" w:color="FFFFFF" w:sz="0"/>
        <w:right w:val="nil" w:color="FFFFFF" w:sz="0"/>
      </w:pBdr>
      <w:tabs>
        <w:tab w:val="right" w:pos="9026"/>
      </w:tabs>
      <w:spacing w:before="0" w:after="80"/>
    </w:pPr>
    <w:r>
      <w:rPr>
        <w:b/>
        <w:bCs/>
        <w:color w:val="003087"/>
        <w:sz w:val="18"/>
        <w:szCs w:val="18"/>
        <w:rFonts w:ascii="Arial" w:cs="Arial" w:eastAsia="Arial" w:hAnsi="Arial"/>
      </w:rPr>
      <w:t xml:space="preserve">Tata Consultancy Services</w:t>
    </w:r>
    <w:r>
      <w:rPr>
        <w:color w:val="888888"/>
        <w:sz w:val="18"/>
        <w:szCs w:val="18"/>
        <w:rFonts w:ascii="Arial" w:cs="Arial" w:eastAsia="Arial" w:hAnsi="Arial"/>
      </w:rPr>
      <w:t xml:space="preserve">	Integrated Annual Report 2024-25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b/>
      <w:bCs/>
      <w:color w:val="003087"/>
      <w:sz w:val="40"/>
      <w:szCs w:val="40"/>
      <w:rFonts w:ascii="Arial" w:cs="Arial" w:eastAsia="Arial" w:hAnsi="Arial"/>
    </w:rPr>
  </w:style>
  <w:style w:type="paragraph" w:styleId="Heading2">
    <w:name w:val="Heading 2"/>
    <w:basedOn w:val="Normal"/>
    <w:next w:val="Normal"/>
    <w:qFormat/>
    <w:pPr>
      <w:spacing w:before="240" w:after="120"/>
      <w:outlineLvl w:val="1"/>
    </w:pPr>
    <w:rPr>
      <w:b/>
      <w:bCs/>
      <w:color w:val="003087"/>
      <w:sz w:val="32"/>
      <w:szCs w:val="3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Annual Report 2024-25</dc:title>
  <dc:creator>Tata Consultancy Services</dc:creator>
  <dc:description>Annual Report for Tata Consultancy Services</dc:description>
  <cp:lastModifiedBy>Un-named</cp:lastModifiedBy>
  <cp:revision>1</cp:revision>
  <dcterms:created xsi:type="dcterms:W3CDTF">2026-03-17T05:59:58.419Z</dcterms:created>
  <dcterms:modified xsi:type="dcterms:W3CDTF">2026-03-17T05:59:58.422Z</dcterms:modified>
</cp:coreProperties>
</file>

<file path=docProps/custom.xml><?xml version="1.0" encoding="utf-8"?>
<Properties xmlns="http://schemas.openxmlformats.org/officeDocument/2006/custom-properties" xmlns:vt="http://schemas.openxmlformats.org/officeDocument/2006/docPropsVTypes"/>
</file>