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720"/>
      </w:pPr>
    </w:p>
    <w:p>
      <w:pPr>
        <w:pBdr>
          <w:top w:val="nil" w:color="FFFFFF" w:sz="0"/>
          <w:bottom w:val="single" w:color="1B3A6B" w:sz="16" w:space="4"/>
          <w:left w:val="nil" w:color="FFFFFF" w:sz="0"/>
          <w:right w:val="nil" w:color="FFFFFF" w:sz="0"/>
        </w:pBdr>
        <w:spacing w:before="0" w:after="120"/>
        <w:jc w:val="left"/>
      </w:pPr>
      <w:r>
        <w:rPr>
          <w:b/>
          <w:bCs/>
          <w:color w:val="1B3A6B"/>
          <w:sz w:val="64"/>
          <w:szCs w:val="64"/>
          <w:rFonts w:ascii="Arial" w:cs="Arial" w:eastAsia="Arial" w:hAnsi="Arial"/>
        </w:rPr>
        <w:t xml:space="preserve">Americana Restaurants</w:t>
      </w:r>
    </w:p>
    <w:p>
      <w:pPr>
        <w:spacing w:before="240" w:after="120"/>
        <w:jc w:val="left"/>
      </w:pPr>
      <w:r>
        <w:rPr>
          <w:color w:val="333333"/>
          <w:sz w:val="44"/>
          <w:szCs w:val="44"/>
          <w:rFonts w:ascii="Arial" w:cs="Arial" w:eastAsia="Arial" w:hAnsi="Arial"/>
        </w:rPr>
        <w:t xml:space="preserve">Annual Report</w:t>
      </w:r>
    </w:p>
    <w:p>
      <w:pPr>
        <w:spacing w:before="0" w:after="80"/>
        <w:jc w:val="left"/>
      </w:pPr>
      <w:r>
        <w:rPr>
          <w:color w:val="888888"/>
          <w:sz w:val="36"/>
          <w:szCs w:val="36"/>
          <w:rFonts w:ascii="Arial" w:cs="Arial" w:eastAsia="Arial" w:hAnsi="Arial"/>
        </w:rPr>
        <w:t xml:space="preserve">2024</w:t>
      </w:r>
    </w:p>
    <w:p>
      <w:pPr>
        <w:spacing w:before="480" w:after="0"/>
      </w:pPr>
    </w:p>
    <w:p>
      <w:pPr>
        <w:spacing w:before="0" w:after="0"/>
        <w:jc w:val="left"/>
      </w:pPr>
      <w:r>
        <w:rPr>
          <w:i/>
          <w:iCs/>
          <w:color w:val="555555"/>
          <w:sz w:val="26"/>
          <w:szCs w:val="26"/>
          <w:rFonts w:ascii="Georgia" w:cs="Georgia" w:eastAsia="Georgia" w:hAnsi="Georgia"/>
        </w:rPr>
        <w:t xml:space="preserve">Serving world-class dining experiences across the Middle East &amp; North Africa</w:t>
      </w:r>
    </w:p>
    <w:p>
      <w:pPr>
        <w:spacing w:before="720" w:after="0"/>
      </w:pPr>
    </w:p>
    <w:p>
      <w:pPr>
        <w:spacing w:before="0" w:after="0"/>
      </w:pPr>
      <w:r>
        <w:rPr>
          <w:color w:val="888888"/>
          <w:sz w:val="20"/>
          <w:szCs w:val="20"/>
          <w:rFonts w:ascii="Arial" w:cs="Arial" w:eastAsia="Arial" w:hAnsi="Arial"/>
        </w:rPr>
        <w:t xml:space="preserve">Prepared by  </w:t>
      </w:r>
      <w:r>
        <w:rPr>
          <w:b/>
          <w:bCs/>
          <w:color w:val="333333"/>
          <w:sz w:val="20"/>
          <w:szCs w:val="20"/>
          <w:rFonts w:ascii="Arial" w:cs="Arial" w:eastAsia="Arial" w:hAnsi="Arial"/>
        </w:rPr>
        <w:t xml:space="preserve">Infosys Analytics Team</w:t>
      </w:r>
    </w:p>
    <w:p>
      <w:r>
        <w:br w:type="page"/>
      </w:r>
    </w:p>
    <w:p>
      <w:pPr>
        <w:pStyle w:val="Heading1"/>
        <w:spacing w:before="0" w:after="240"/>
      </w:pPr>
      <w:r>
        <w:rPr>
          <w:b/>
          <w:bCs/>
          <w:color w:val="1B3A6B"/>
          <w:sz w:val="40"/>
          <w:szCs w:val="40"/>
          <w:rFonts w:ascii="Arial" w:cs="Arial" w:eastAsia="Arial" w:hAnsi="Arial"/>
        </w:rPr>
        <w:t xml:space="preserve">Contents</w:t>
      </w:r>
    </w:p>
    <w:sdt>
      <w:sdtPr>
        <w:alias w:val="TOC"/>
      </w:sdtPr>
      <w:sdtContent>
        <w:p>
          <w:r>
            <w:fldChar w:fldCharType="begin" w:dirty="true"/>
            <w:instrText xml:space="preserve">TOC \h \o "1-3" \t "Heading1,1,Heading2,2"</w:instrText>
            <w:fldChar w:fldCharType="separate"/>
          </w:r>
        </w:p>
        <w:p>
          <w:r>
            <w:fldChar w:fldCharType="end"/>
          </w:r>
        </w:p>
      </w:sdtContent>
    </w:sdt>
    <w:p>
      <w:r>
        <w:br w:type="page"/>
      </w:r>
    </w:p>
    <w:p>
      <w:pPr>
        <w:pStyle w:val="Heading1"/>
        <w:pageBreakBefore/>
        <w:pBdr>
          <w:top w:val="nil" w:color="FFFFFF" w:sz="0"/>
          <w:bottom w:val="single" w:color="1B3A6B" w:sz="16" w:space="4"/>
          <w:left w:val="nil" w:color="FFFFFF" w:sz="0"/>
          <w:right w:val="nil" w:color="FFFFFF" w:sz="0"/>
        </w:pBdr>
        <w:spacing w:before="0" w:after="200"/>
      </w:pPr>
      <w:r>
        <w:rPr>
          <w:b/>
          <w:bCs/>
          <w:color w:val="1B3A6B"/>
          <w:sz w:val="40"/>
          <w:szCs w:val="40"/>
          <w:rFonts w:ascii="Arial" w:cs="Arial" w:eastAsia="Arial" w:hAnsi="Arial"/>
        </w:rPr>
        <w:t xml:space="preserve">Business Overview</w:t>
      </w:r>
    </w:p>
    <w:p>
      <w:pPr>
        <w:pStyle w:val="Heading2"/>
        <w:spacing w:before="240" w:after="120"/>
      </w:pPr>
      <w:r>
        <w:rPr>
          <w:b/>
          <w:bCs/>
          <w:color w:val="1B3A6B"/>
          <w:sz w:val="32"/>
          <w:szCs w:val="32"/>
          <w:rFonts w:ascii="Arial" w:cs="Arial" w:eastAsia="Arial" w:hAnsi="Arial"/>
        </w:rPr>
        <w:t xml:space="preserve">About Americana Restaurants</w:t>
      </w:r>
    </w:p>
    <w:p>
      <w:pPr>
        <w:spacing w:before="0" w:after="160"/>
      </w:pPr>
      <w:r>
        <w:rPr>
          <w:sz w:val="22"/>
          <w:szCs w:val="22"/>
          <w:rFonts w:ascii="Arial" w:cs="Arial" w:eastAsia="Arial" w:hAnsi="Arial"/>
        </w:rPr>
        <w:t xml:space="preserve">Americana Restaurants is the largest out-of-home dining and quick-service restaurant operator across 12 countries in the Middle East and North Africa. With strong franchisor partnerships and a diverse portfolio of iconic global brands — including KFC, Pizza Hut, Hardee's, Krispy Kreme, Peet's Coffee, Wimpy, TGI Friday's, Costa Coffee, and Baskin Robbins — the company delivers world-class dining experiences to millions of customers every day.</w:t>
      </w:r>
    </w:p>
    <w:p>
      <w:pPr>
        <w:spacing w:before="0" w:after="160"/>
      </w:pPr>
      <w:r>
        <w:rPr>
          <w:sz w:val="22"/>
          <w:szCs w:val="22"/>
          <w:rFonts w:ascii="Arial" w:cs="Arial" w:eastAsia="Arial" w:hAnsi="Arial"/>
        </w:rPr>
        <w:t xml:space="preserve">Their growth in recent years has been so rapid that it was starting to strain their technology infrastructure, exposing limitations in their ability to scale to demand. They sought out Infosys' expertise to help establish a state-of-the-art BPM framework that would bring transparency and efficiency into their process ecosystem while prioritizing their vital enterprise Accounts Payable processes for AI-powered transformation.</w:t>
      </w:r>
    </w:p>
    <w:p>
      <w:pPr>
        <w:pBdr>
          <w:top w:val="nil" w:color="FFFFFF" w:sz="0"/>
          <w:bottom w:val="nil" w:color="FFFFFF" w:sz="0"/>
          <w:left w:val="single" w:color="1B3A6B" w:sz="20" w:space="12"/>
          <w:right w:val="nil" w:color="FFFFFF" w:sz="0"/>
        </w:pBdr>
        <w:spacing w:before="200" w:after="200"/>
        <w:ind w:left="720" w:right="720"/>
      </w:pPr>
      <w:r>
        <w:rPr>
          <w:i/>
          <w:iCs/>
          <w:color w:val="444444"/>
          <w:sz w:val="26"/>
          <w:szCs w:val="26"/>
          <w:rFonts w:ascii="Georgia" w:cs="Georgia" w:eastAsia="Georgia" w:hAnsi="Georgia"/>
        </w:rPr>
        <w:t xml:space="preserve">"We are building the future of dining technology in MENA — one intelligent process at a time."</w:t>
      </w:r>
    </w:p>
    <w:p>
      <w:pPr>
        <w:pStyle w:val="Heading2"/>
        <w:spacing w:before="240" w:after="160"/>
      </w:pPr>
      <w:r>
        <w:rPr>
          <w:b/>
          <w:bCs/>
          <w:color w:val="1B3A6B"/>
          <w:sz w:val="32"/>
          <w:szCs w:val="32"/>
          <w:rFonts w:ascii="Arial" w:cs="Arial" w:eastAsia="Arial" w:hAnsi="Arial"/>
        </w:rPr>
        <w:t xml:space="preserve">Key Performance Indicators — FY 2024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09"/>
      </w:tblGrid>
      <w:tr>
        <w:tc>
          <w:tcPr>
            <w:tcW w:type="dxa" w:w="2409"/>
            <w:tcBorders>
              <w:top w:val="nil" w:color="FFFFFF" w:sz="0"/>
              <w:left w:val="nil" w:color="FFFFFF" w:sz="0"/>
              <w:bottom w:val="nil" w:color="FFFFFF" w:sz="0"/>
              <w:right w:val="nil" w:color="FFFFFF" w:sz="0"/>
            </w:tcBorders>
            <w:shd w:fill="1B3A6B" w:val="clear"/>
            <w:tcMar>
              <w:top w:type="dxa" w:w="80"/>
              <w:left w:type="dxa" w:w="160"/>
              <w:bottom w:type="dxa" w:w="80"/>
              <w:right w:type="dxa" w:w="160"/>
            </w:tcMar>
          </w:tcPr>
          <w:p>
            <w:pPr>
              <w:jc w:val="center"/>
            </w:pPr>
            <w:r>
              <w:rPr>
                <w:b/>
                <w:bCs/>
                <w:color w:val="FFFFFF"/>
                <w:sz w:val="18"/>
                <w:szCs w:val="18"/>
                <w:rFonts w:ascii="Arial" w:cs="Arial" w:eastAsia="Arial" w:hAnsi="Arial"/>
              </w:rPr>
              <w:t xml:space="preserve">Total Revenue</w:t>
            </w:r>
          </w:p>
        </w:tc>
        <w:tc>
          <w:tcPr>
            <w:tcW w:type="dxa" w:w="2409"/>
            <w:tcBorders>
              <w:top w:val="nil" w:color="FFFFFF" w:sz="0"/>
              <w:left w:val="nil" w:color="FFFFFF" w:sz="0"/>
              <w:bottom w:val="nil" w:color="FFFFFF" w:sz="0"/>
              <w:right w:val="nil" w:color="FFFFFF" w:sz="0"/>
            </w:tcBorders>
            <w:shd w:fill="1B3A6B" w:val="clear"/>
            <w:tcMar>
              <w:top w:type="dxa" w:w="80"/>
              <w:left w:type="dxa" w:w="160"/>
              <w:bottom w:type="dxa" w:w="80"/>
              <w:right w:type="dxa" w:w="160"/>
            </w:tcMar>
          </w:tcPr>
          <w:p>
            <w:pPr>
              <w:jc w:val="center"/>
            </w:pPr>
            <w:r>
              <w:rPr>
                <w:b/>
                <w:bCs/>
                <w:color w:val="FFFFFF"/>
                <w:sz w:val="18"/>
                <w:szCs w:val="18"/>
                <w:rFonts w:ascii="Arial" w:cs="Arial" w:eastAsia="Arial" w:hAnsi="Arial"/>
              </w:rPr>
              <w:t xml:space="preserve">Countries</w:t>
            </w:r>
          </w:p>
        </w:tc>
        <w:tc>
          <w:tcPr>
            <w:tcW w:type="dxa" w:w="2409"/>
            <w:tcBorders>
              <w:top w:val="nil" w:color="FFFFFF" w:sz="0"/>
              <w:left w:val="nil" w:color="FFFFFF" w:sz="0"/>
              <w:bottom w:val="nil" w:color="FFFFFF" w:sz="0"/>
              <w:right w:val="nil" w:color="FFFFFF" w:sz="0"/>
            </w:tcBorders>
            <w:shd w:fill="1B3A6B" w:val="clear"/>
            <w:tcMar>
              <w:top w:type="dxa" w:w="80"/>
              <w:left w:type="dxa" w:w="160"/>
              <w:bottom w:type="dxa" w:w="80"/>
              <w:right w:type="dxa" w:w="160"/>
            </w:tcMar>
          </w:tcPr>
          <w:p>
            <w:pPr>
              <w:jc w:val="center"/>
            </w:pPr>
            <w:r>
              <w:rPr>
                <w:b/>
                <w:bCs/>
                <w:color w:val="FFFFFF"/>
                <w:sz w:val="18"/>
                <w:szCs w:val="18"/>
                <w:rFonts w:ascii="Arial" w:cs="Arial" w:eastAsia="Arial" w:hAnsi="Arial"/>
              </w:rPr>
              <w:t xml:space="preserve">Restaurants</w:t>
            </w:r>
          </w:p>
        </w:tc>
        <w:tc>
          <w:tcPr>
            <w:tcW w:type="dxa" w:w="2409"/>
            <w:tcBorders>
              <w:top w:val="nil" w:color="FFFFFF" w:sz="0"/>
              <w:left w:val="nil" w:color="FFFFFF" w:sz="0"/>
              <w:bottom w:val="nil" w:color="FFFFFF" w:sz="0"/>
              <w:right w:val="nil" w:color="FFFFFF" w:sz="0"/>
            </w:tcBorders>
            <w:shd w:fill="1B3A6B" w:val="clear"/>
            <w:tcMar>
              <w:top w:type="dxa" w:w="80"/>
              <w:left w:type="dxa" w:w="160"/>
              <w:bottom w:type="dxa" w:w="80"/>
              <w:right w:type="dxa" w:w="160"/>
            </w:tcMar>
          </w:tcPr>
          <w:p>
            <w:pPr>
              <w:jc w:val="center"/>
            </w:pPr>
            <w:r>
              <w:rPr>
                <w:b/>
                <w:bCs/>
                <w:color w:val="FFFFFF"/>
                <w:sz w:val="18"/>
                <w:szCs w:val="18"/>
                <w:rFonts w:ascii="Arial" w:cs="Arial" w:eastAsia="Arial" w:hAnsi="Arial"/>
              </w:rPr>
              <w:t xml:space="preserve">Employees</w:t>
            </w:r>
          </w:p>
        </w:tc>
      </w:tr>
      <w:tr>
        <w:tc>
          <w:tcPr>
            <w:tcW w:type="dxa" w:w="2409"/>
            <w:tcBorders>
              <w:top w:val="nil" w:color="FFFFFF" w:sz="0"/>
              <w:left w:val="nil" w:color="FFFFFF" w:sz="0"/>
              <w:bottom w:val="nil" w:color="FFFFFF" w:sz="0"/>
              <w:right w:val="nil" w:color="FFFFFF" w:sz="0"/>
            </w:tcBorders>
            <w:shd w:fill="E8EDF5" w:val="clear"/>
            <w:tcMar>
              <w:top w:type="dxa" w:w="120"/>
              <w:left w:type="dxa" w:w="160"/>
              <w:bottom w:type="dxa" w:w="120"/>
              <w:right w:type="dxa" w:w="160"/>
            </w:tcMar>
            <w:vAlign w:val="center"/>
          </w:tcPr>
          <w:p>
            <w:pPr>
              <w:jc w:val="center"/>
            </w:pPr>
            <w:r>
              <w:rPr>
                <w:b/>
                <w:bCs/>
                <w:color w:val="1A1A1A"/>
                <w:sz w:val="44"/>
                <w:szCs w:val="44"/>
                <w:rFonts w:ascii="Arial" w:cs="Arial" w:eastAsia="Arial" w:hAnsi="Arial"/>
              </w:rPr>
              <w:t xml:space="preserve">$2.8B</w:t>
            </w:r>
          </w:p>
          <w:p>
            <w:pPr>
              <w:jc w:val="center"/>
            </w:pPr>
            <w:r>
              <w:rPr>
                <w:b/>
                <w:bCs/>
                <w:color w:val="2E7D32"/>
                <w:sz w:val="18"/>
                <w:szCs w:val="18"/>
                <w:rFonts w:ascii="Arial" w:cs="Arial" w:eastAsia="Arial" w:hAnsi="Arial"/>
              </w:rPr>
              <w:t xml:space="preserve">+14.2%</w:t>
            </w:r>
          </w:p>
        </w:tc>
        <w:tc>
          <w:tcPr>
            <w:tcW w:type="dxa" w:w="2409"/>
            <w:tcBorders>
              <w:top w:val="nil" w:color="FFFFFF" w:sz="0"/>
              <w:left w:val="nil" w:color="FFFFFF" w:sz="0"/>
              <w:bottom w:val="nil" w:color="FFFFFF" w:sz="0"/>
              <w:right w:val="nil" w:color="FFFFFF" w:sz="0"/>
            </w:tcBorders>
            <w:shd w:fill="E8EDF5" w:val="clear"/>
            <w:tcMar>
              <w:top w:type="dxa" w:w="120"/>
              <w:left w:type="dxa" w:w="160"/>
              <w:bottom w:type="dxa" w:w="120"/>
              <w:right w:type="dxa" w:w="160"/>
            </w:tcMar>
            <w:vAlign w:val="center"/>
          </w:tcPr>
          <w:p>
            <w:pPr>
              <w:jc w:val="center"/>
            </w:pPr>
            <w:r>
              <w:rPr>
                <w:b/>
                <w:bCs/>
                <w:color w:val="1A1A1A"/>
                <w:sz w:val="44"/>
                <w:szCs w:val="44"/>
                <w:rFonts w:ascii="Arial" w:cs="Arial" w:eastAsia="Arial" w:hAnsi="Arial"/>
              </w:rPr>
              <w:t xml:space="preserve">12</w:t>
            </w:r>
          </w:p>
          <w:p>
            <w:pPr>
              <w:jc w:val="center"/>
            </w:pPr>
            <w:r>
              <w:rPr>
                <w:b/>
                <w:bCs/>
                <w:color w:val="2E7D32"/>
                <w:sz w:val="18"/>
                <w:szCs w:val="18"/>
                <w:rFonts w:ascii="Arial" w:cs="Arial" w:eastAsia="Arial" w:hAnsi="Arial"/>
              </w:rPr>
              <w:t xml:space="preserve">+2 YoY</w:t>
            </w:r>
          </w:p>
        </w:tc>
        <w:tc>
          <w:tcPr>
            <w:tcW w:type="dxa" w:w="2409"/>
            <w:tcBorders>
              <w:top w:val="nil" w:color="FFFFFF" w:sz="0"/>
              <w:left w:val="nil" w:color="FFFFFF" w:sz="0"/>
              <w:bottom w:val="nil" w:color="FFFFFF" w:sz="0"/>
              <w:right w:val="nil" w:color="FFFFFF" w:sz="0"/>
            </w:tcBorders>
            <w:shd w:fill="E8EDF5" w:val="clear"/>
            <w:tcMar>
              <w:top w:type="dxa" w:w="120"/>
              <w:left w:type="dxa" w:w="160"/>
              <w:bottom w:type="dxa" w:w="120"/>
              <w:right w:type="dxa" w:w="160"/>
            </w:tcMar>
            <w:vAlign w:val="center"/>
          </w:tcPr>
          <w:p>
            <w:pPr>
              <w:jc w:val="center"/>
            </w:pPr>
            <w:r>
              <w:rPr>
                <w:b/>
                <w:bCs/>
                <w:color w:val="1A1A1A"/>
                <w:sz w:val="44"/>
                <w:szCs w:val="44"/>
                <w:rFonts w:ascii="Arial" w:cs="Arial" w:eastAsia="Arial" w:hAnsi="Arial"/>
              </w:rPr>
              <w:t xml:space="preserve">1,840</w:t>
            </w:r>
          </w:p>
          <w:p>
            <w:pPr>
              <w:jc w:val="center"/>
            </w:pPr>
            <w:r>
              <w:rPr>
                <w:b/>
                <w:bCs/>
                <w:color w:val="2E7D32"/>
                <w:sz w:val="18"/>
                <w:szCs w:val="18"/>
                <w:rFonts w:ascii="Arial" w:cs="Arial" w:eastAsia="Arial" w:hAnsi="Arial"/>
              </w:rPr>
              <w:t xml:space="preserve">+112</w:t>
            </w:r>
          </w:p>
        </w:tc>
        <w:tc>
          <w:tcPr>
            <w:tcW w:type="dxa" w:w="2409"/>
            <w:tcBorders>
              <w:top w:val="nil" w:color="FFFFFF" w:sz="0"/>
              <w:left w:val="nil" w:color="FFFFFF" w:sz="0"/>
              <w:bottom w:val="nil" w:color="FFFFFF" w:sz="0"/>
              <w:right w:val="nil" w:color="FFFFFF" w:sz="0"/>
            </w:tcBorders>
            <w:shd w:fill="E8EDF5" w:val="clear"/>
            <w:tcMar>
              <w:top w:type="dxa" w:w="120"/>
              <w:left w:type="dxa" w:w="160"/>
              <w:bottom w:type="dxa" w:w="120"/>
              <w:right w:type="dxa" w:w="160"/>
            </w:tcMar>
            <w:vAlign w:val="center"/>
          </w:tcPr>
          <w:p>
            <w:pPr>
              <w:jc w:val="center"/>
            </w:pPr>
            <w:r>
              <w:rPr>
                <w:b/>
                <w:bCs/>
                <w:color w:val="1A1A1A"/>
                <w:sz w:val="44"/>
                <w:szCs w:val="44"/>
                <w:rFonts w:ascii="Arial" w:cs="Arial" w:eastAsia="Arial" w:hAnsi="Arial"/>
              </w:rPr>
              <w:t xml:space="preserve">37,000</w:t>
            </w:r>
          </w:p>
          <w:p>
            <w:pPr>
              <w:jc w:val="center"/>
            </w:pPr>
            <w:r>
              <w:rPr>
                <w:b/>
                <w:bCs/>
                <w:color w:val="2E7D32"/>
                <w:sz w:val="18"/>
                <w:szCs w:val="18"/>
                <w:rFonts w:ascii="Arial" w:cs="Arial" w:eastAsia="Arial" w:hAnsi="Arial"/>
              </w:rPr>
              <w:t xml:space="preserve">+4,200</w:t>
            </w:r>
          </w:p>
        </w:tc>
      </w:tr>
    </w:tbl>
    <w:p>
      <w:pPr>
        <w:spacing w:before="0" w:after="240"/>
      </w:pPr>
    </w:p>
    <w:p>
      <w:pPr>
        <w:pStyle w:val="Heading1"/>
        <w:pageBreakBefore/>
        <w:pBdr>
          <w:top w:val="nil" w:color="FFFFFF" w:sz="0"/>
          <w:bottom w:val="single" w:color="1B3A6B" w:sz="16" w:space="4"/>
          <w:left w:val="nil" w:color="FFFFFF" w:sz="0"/>
          <w:right w:val="nil" w:color="FFFFFF" w:sz="0"/>
        </w:pBdr>
        <w:spacing w:before="0" w:after="200"/>
      </w:pPr>
      <w:r>
        <w:rPr>
          <w:b/>
          <w:bCs/>
          <w:color w:val="1B3A6B"/>
          <w:sz w:val="40"/>
          <w:szCs w:val="40"/>
          <w:rFonts w:ascii="Arial" w:cs="Arial" w:eastAsia="Arial" w:hAnsi="Arial"/>
        </w:rPr>
        <w:t xml:space="preserve">Financial Performance</w:t>
      </w:r>
    </w:p>
    <w:p>
      <w:pPr>
        <w:pStyle w:val="Heading2"/>
        <w:spacing w:before="240" w:after="160"/>
      </w:pPr>
      <w:r>
        <w:rPr>
          <w:b/>
          <w:bCs/>
          <w:color w:val="1B3A6B"/>
          <w:sz w:val="32"/>
          <w:szCs w:val="32"/>
          <w:rFonts w:ascii="Arial" w:cs="Arial" w:eastAsia="Arial" w:hAnsi="Arial"/>
        </w:rPr>
        <w:t xml:space="preserve">Revenue Growth (2020–2024)</w:t>
      </w:r>
    </w:p>
    <w:p>
      <w:r>
        <w:rPr>
          <w:i/>
          <w:iCs/>
          <w:color w:val="999999"/>
          <w:sz w:val="20"/>
          <w:szCs w:val="20"/>
          <w:rFonts w:ascii="Arial" w:cs="Arial" w:eastAsia="Arial" w:hAnsi="Arial"/>
        </w:rPr>
        <w:t xml:space="preserve">[Chart: Revenue Growth (2020–2024) — rendering unavailable]</w:t>
      </w:r>
    </w:p>
    <w:p>
      <w:pPr>
        <w:spacing w:before="80" w:after="200"/>
        <w:jc w:val="center"/>
      </w:pPr>
      <w:r>
        <w:rPr>
          <w:i/>
          <w:iCs/>
          <w:color w:val="777777"/>
          <w:sz w:val="18"/>
          <w:szCs w:val="18"/>
          <w:rFonts w:ascii="Arial" w:cs="Arial" w:eastAsia="Arial" w:hAnsi="Arial"/>
        </w:rPr>
        <w:t xml:space="preserve">Figure 1: Annual revenue in USD millions. CAGR of 14.7% over the period.</w:t>
      </w:r>
    </w:p>
    <w:p>
      <w:pPr>
        <w:pStyle w:val="Heading2"/>
        <w:spacing w:before="240" w:after="160"/>
      </w:pPr>
      <w:r>
        <w:rPr>
          <w:b/>
          <w:bCs/>
          <w:color w:val="1B3A6B"/>
          <w:sz w:val="32"/>
          <w:szCs w:val="32"/>
          <w:rFonts w:ascii="Arial" w:cs="Arial" w:eastAsia="Arial" w:hAnsi="Arial"/>
        </w:rPr>
        <w:t xml:space="preserve">Revenue by Brand (2024)</w:t>
      </w:r>
    </w:p>
    <w:p>
      <w:r>
        <w:rPr>
          <w:i/>
          <w:iCs/>
          <w:color w:val="999999"/>
          <w:sz w:val="20"/>
          <w:szCs w:val="20"/>
          <w:rFonts w:ascii="Arial" w:cs="Arial" w:eastAsia="Arial" w:hAnsi="Arial"/>
        </w:rPr>
        <w:t xml:space="preserve">[Chart: Revenue by Brand (2024) — rendering unavailable]</w:t>
      </w:r>
    </w:p>
    <w:p>
      <w:pPr>
        <w:spacing w:before="80" w:after="200"/>
        <w:jc w:val="center"/>
      </w:pPr>
      <w:r>
        <w:rPr>
          <w:i/>
          <w:iCs/>
          <w:color w:val="777777"/>
          <w:sz w:val="18"/>
          <w:szCs w:val="18"/>
          <w:rFonts w:ascii="Arial" w:cs="Arial" w:eastAsia="Arial" w:hAnsi="Arial"/>
        </w:rPr>
        <w:t xml:space="preserve">Figure 2: Revenue share by brand as percentage of total FY2024 revenue.</w:t>
      </w:r>
    </w:p>
    <w:p>
      <w:pPr>
        <w:pStyle w:val="Heading2"/>
        <w:spacing w:before="240" w:after="160"/>
      </w:pPr>
      <w:r>
        <w:rPr>
          <w:b/>
          <w:bCs/>
          <w:color w:val="1B3A6B"/>
          <w:sz w:val="32"/>
          <w:szCs w:val="32"/>
          <w:rFonts w:ascii="Arial" w:cs="Arial" w:eastAsia="Arial" w:hAnsi="Arial"/>
        </w:rPr>
        <w:t xml:space="preserve">Financial Summary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1927"/>
        <w:gridCol w:w="1927"/>
        <w:gridCol w:w="1927"/>
        <w:gridCol w:w="1927"/>
      </w:tblGrid>
      <w:tr>
        <w:trPr>
          <w:tblHeader/>
        </w:trPr>
        <w:tc>
          <w:tcPr>
            <w:tcW w:type="dxa" w:w="1927"/>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b/>
                <w:bCs/>
                <w:color w:val="FFFFFF"/>
                <w:sz w:val="20"/>
                <w:szCs w:val="20"/>
                <w:rFonts w:ascii="Arial" w:cs="Arial" w:eastAsia="Arial" w:hAnsi="Arial"/>
              </w:rPr>
              <w:t xml:space="preserve">Metric</w:t>
            </w:r>
          </w:p>
        </w:tc>
        <w:tc>
          <w:tcPr>
            <w:tcW w:type="dxa" w:w="1927"/>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b/>
                <w:bCs/>
                <w:color w:val="FFFFFF"/>
                <w:sz w:val="20"/>
                <w:szCs w:val="20"/>
                <w:rFonts w:ascii="Arial" w:cs="Arial" w:eastAsia="Arial" w:hAnsi="Arial"/>
              </w:rPr>
              <w:t xml:space="preserve">FY 2022</w:t>
            </w:r>
          </w:p>
        </w:tc>
        <w:tc>
          <w:tcPr>
            <w:tcW w:type="dxa" w:w="1927"/>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b/>
                <w:bCs/>
                <w:color w:val="FFFFFF"/>
                <w:sz w:val="20"/>
                <w:szCs w:val="20"/>
                <w:rFonts w:ascii="Arial" w:cs="Arial" w:eastAsia="Arial" w:hAnsi="Arial"/>
              </w:rPr>
              <w:t xml:space="preserve">FY 2023</w:t>
            </w:r>
          </w:p>
        </w:tc>
        <w:tc>
          <w:tcPr>
            <w:tcW w:type="dxa" w:w="1927"/>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b/>
                <w:bCs/>
                <w:color w:val="FFFFFF"/>
                <w:sz w:val="20"/>
                <w:szCs w:val="20"/>
                <w:rFonts w:ascii="Arial" w:cs="Arial" w:eastAsia="Arial" w:hAnsi="Arial"/>
              </w:rPr>
              <w:t xml:space="preserve">FY 2024</w:t>
            </w:r>
          </w:p>
        </w:tc>
        <w:tc>
          <w:tcPr>
            <w:tcW w:type="dxa" w:w="1927"/>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b/>
                <w:bCs/>
                <w:color w:val="FFFFFF"/>
                <w:sz w:val="20"/>
                <w:szCs w:val="20"/>
                <w:rFonts w:ascii="Arial" w:cs="Arial" w:eastAsia="Arial" w:hAnsi="Arial"/>
              </w:rPr>
              <w:t xml:space="preserve">YoY Change</w:t>
            </w:r>
          </w:p>
        </w:tc>
      </w:tr>
      <w:tr>
        <w:tc>
          <w:tcPr>
            <w:tcW w:type="dxa" w:w="1927"/>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color w:val="1A1A1A"/>
                <w:sz w:val="20"/>
                <w:szCs w:val="20"/>
                <w:rFonts w:ascii="Arial" w:cs="Arial" w:eastAsia="Arial" w:hAnsi="Arial"/>
              </w:rPr>
              <w:t xml:space="preserve">Revenue ($M)</w:t>
            </w:r>
          </w:p>
        </w:tc>
        <w:tc>
          <w:tcPr>
            <w:tcW w:type="dxa" w:w="1927"/>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color w:val="1A1A1A"/>
                <w:sz w:val="20"/>
                <w:szCs w:val="20"/>
                <w:rFonts w:ascii="Arial" w:cs="Arial" w:eastAsia="Arial" w:hAnsi="Arial"/>
              </w:rPr>
              <w:t xml:space="preserve">2,050</w:t>
            </w:r>
          </w:p>
        </w:tc>
        <w:tc>
          <w:tcPr>
            <w:tcW w:type="dxa" w:w="1927"/>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color w:val="1A1A1A"/>
                <w:sz w:val="20"/>
                <w:szCs w:val="20"/>
                <w:rFonts w:ascii="Arial" w:cs="Arial" w:eastAsia="Arial" w:hAnsi="Arial"/>
              </w:rPr>
              <w:t xml:space="preserve">2,450</w:t>
            </w:r>
          </w:p>
        </w:tc>
        <w:tc>
          <w:tcPr>
            <w:tcW w:type="dxa" w:w="1927"/>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color w:val="1A1A1A"/>
                <w:sz w:val="20"/>
                <w:szCs w:val="20"/>
                <w:rFonts w:ascii="Arial" w:cs="Arial" w:eastAsia="Arial" w:hAnsi="Arial"/>
              </w:rPr>
              <w:t xml:space="preserve">2,800</w:t>
            </w:r>
          </w:p>
        </w:tc>
        <w:tc>
          <w:tcPr>
            <w:tcW w:type="dxa" w:w="1927"/>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color w:val="1A1A1A"/>
                <w:sz w:val="20"/>
                <w:szCs w:val="20"/>
                <w:rFonts w:ascii="Arial" w:cs="Arial" w:eastAsia="Arial" w:hAnsi="Arial"/>
              </w:rPr>
              <w:t xml:space="preserve">+14.3%</w:t>
            </w:r>
          </w:p>
        </w:tc>
      </w:tr>
      <w:tr>
        <w:tc>
          <w:tcPr>
            <w:tcW w:type="dxa" w:w="1927"/>
            <w:tcBorders>
              <w:top w:val="single" w:color="CCCCCC" w:sz="1"/>
              <w:left w:val="single" w:color="CCCCCC" w:sz="1"/>
              <w:bottom w:val="single" w:color="CCCCCC" w:sz="1"/>
              <w:right w:val="single" w:color="CCCCCC" w:sz="1"/>
            </w:tcBorders>
            <w:shd w:fill="F7F8FA" w:val="clear"/>
            <w:tcMar>
              <w:top w:type="dxa" w:w="60"/>
              <w:left w:type="dxa" w:w="120"/>
              <w:bottom w:type="dxa" w:w="60"/>
              <w:right w:type="dxa" w:w="120"/>
            </w:tcMar>
          </w:tcPr>
          <w:p>
            <w:r>
              <w:rPr>
                <w:b w:val="false"/>
                <w:bCs w:val="false"/>
                <w:color w:val="1A1A1A"/>
                <w:sz w:val="20"/>
                <w:szCs w:val="20"/>
                <w:rFonts w:ascii="Arial" w:cs="Arial" w:eastAsia="Arial" w:hAnsi="Arial"/>
              </w:rPr>
              <w:t xml:space="preserve">Gross Profit ($M)</w:t>
            </w:r>
          </w:p>
        </w:tc>
        <w:tc>
          <w:tcPr>
            <w:tcW w:type="dxa" w:w="1927"/>
            <w:tcBorders>
              <w:top w:val="single" w:color="CCCCCC" w:sz="1"/>
              <w:left w:val="single" w:color="CCCCCC" w:sz="1"/>
              <w:bottom w:val="single" w:color="CCCCCC" w:sz="1"/>
              <w:right w:val="single" w:color="CCCCCC" w:sz="1"/>
            </w:tcBorders>
            <w:shd w:fill="F7F8FA" w:val="clear"/>
            <w:tcMar>
              <w:top w:type="dxa" w:w="60"/>
              <w:left w:type="dxa" w:w="120"/>
              <w:bottom w:type="dxa" w:w="60"/>
              <w:right w:type="dxa" w:w="120"/>
            </w:tcMar>
          </w:tcPr>
          <w:p>
            <w:r>
              <w:rPr>
                <w:b w:val="false"/>
                <w:bCs w:val="false"/>
                <w:color w:val="1A1A1A"/>
                <w:sz w:val="20"/>
                <w:szCs w:val="20"/>
                <w:rFonts w:ascii="Arial" w:cs="Arial" w:eastAsia="Arial" w:hAnsi="Arial"/>
              </w:rPr>
              <w:t xml:space="preserve">820</w:t>
            </w:r>
          </w:p>
        </w:tc>
        <w:tc>
          <w:tcPr>
            <w:tcW w:type="dxa" w:w="1927"/>
            <w:tcBorders>
              <w:top w:val="single" w:color="CCCCCC" w:sz="1"/>
              <w:left w:val="single" w:color="CCCCCC" w:sz="1"/>
              <w:bottom w:val="single" w:color="CCCCCC" w:sz="1"/>
              <w:right w:val="single" w:color="CCCCCC" w:sz="1"/>
            </w:tcBorders>
            <w:shd w:fill="F7F8FA" w:val="clear"/>
            <w:tcMar>
              <w:top w:type="dxa" w:w="60"/>
              <w:left w:type="dxa" w:w="120"/>
              <w:bottom w:type="dxa" w:w="60"/>
              <w:right w:type="dxa" w:w="120"/>
            </w:tcMar>
          </w:tcPr>
          <w:p>
            <w:r>
              <w:rPr>
                <w:b w:val="false"/>
                <w:bCs w:val="false"/>
                <w:color w:val="1A1A1A"/>
                <w:sz w:val="20"/>
                <w:szCs w:val="20"/>
                <w:rFonts w:ascii="Arial" w:cs="Arial" w:eastAsia="Arial" w:hAnsi="Arial"/>
              </w:rPr>
              <w:t xml:space="preserve">1,008</w:t>
            </w:r>
          </w:p>
        </w:tc>
        <w:tc>
          <w:tcPr>
            <w:tcW w:type="dxa" w:w="1927"/>
            <w:tcBorders>
              <w:top w:val="single" w:color="CCCCCC" w:sz="1"/>
              <w:left w:val="single" w:color="CCCCCC" w:sz="1"/>
              <w:bottom w:val="single" w:color="CCCCCC" w:sz="1"/>
              <w:right w:val="single" w:color="CCCCCC" w:sz="1"/>
            </w:tcBorders>
            <w:shd w:fill="F7F8FA" w:val="clear"/>
            <w:tcMar>
              <w:top w:type="dxa" w:w="60"/>
              <w:left w:type="dxa" w:w="120"/>
              <w:bottom w:type="dxa" w:w="60"/>
              <w:right w:type="dxa" w:w="120"/>
            </w:tcMar>
          </w:tcPr>
          <w:p>
            <w:r>
              <w:rPr>
                <w:b w:val="false"/>
                <w:bCs w:val="false"/>
                <w:color w:val="1A1A1A"/>
                <w:sz w:val="20"/>
                <w:szCs w:val="20"/>
                <w:rFonts w:ascii="Arial" w:cs="Arial" w:eastAsia="Arial" w:hAnsi="Arial"/>
              </w:rPr>
              <w:t xml:space="preserve">1,176</w:t>
            </w:r>
          </w:p>
        </w:tc>
        <w:tc>
          <w:tcPr>
            <w:tcW w:type="dxa" w:w="1927"/>
            <w:tcBorders>
              <w:top w:val="single" w:color="CCCCCC" w:sz="1"/>
              <w:left w:val="single" w:color="CCCCCC" w:sz="1"/>
              <w:bottom w:val="single" w:color="CCCCCC" w:sz="1"/>
              <w:right w:val="single" w:color="CCCCCC" w:sz="1"/>
            </w:tcBorders>
            <w:shd w:fill="F7F8FA" w:val="clear"/>
            <w:tcMar>
              <w:top w:type="dxa" w:w="60"/>
              <w:left w:type="dxa" w:w="120"/>
              <w:bottom w:type="dxa" w:w="60"/>
              <w:right w:type="dxa" w:w="120"/>
            </w:tcMar>
          </w:tcPr>
          <w:p>
            <w:r>
              <w:rPr>
                <w:b w:val="false"/>
                <w:bCs w:val="false"/>
                <w:color w:val="1A1A1A"/>
                <w:sz w:val="20"/>
                <w:szCs w:val="20"/>
                <w:rFonts w:ascii="Arial" w:cs="Arial" w:eastAsia="Arial" w:hAnsi="Arial"/>
              </w:rPr>
              <w:t xml:space="preserve">+16.7%</w:t>
            </w:r>
          </w:p>
        </w:tc>
      </w:tr>
      <w:tr>
        <w:tc>
          <w:tcPr>
            <w:tcW w:type="dxa" w:w="1927"/>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color w:val="1A1A1A"/>
                <w:sz w:val="20"/>
                <w:szCs w:val="20"/>
                <w:rFonts w:ascii="Arial" w:cs="Arial" w:eastAsia="Arial" w:hAnsi="Arial"/>
              </w:rPr>
              <w:t xml:space="preserve">EBITDA ($M)</w:t>
            </w:r>
          </w:p>
        </w:tc>
        <w:tc>
          <w:tcPr>
            <w:tcW w:type="dxa" w:w="1927"/>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color w:val="1A1A1A"/>
                <w:sz w:val="20"/>
                <w:szCs w:val="20"/>
                <w:rFonts w:ascii="Arial" w:cs="Arial" w:eastAsia="Arial" w:hAnsi="Arial"/>
              </w:rPr>
              <w:t xml:space="preserve">410</w:t>
            </w:r>
          </w:p>
        </w:tc>
        <w:tc>
          <w:tcPr>
            <w:tcW w:type="dxa" w:w="1927"/>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color w:val="1A1A1A"/>
                <w:sz w:val="20"/>
                <w:szCs w:val="20"/>
                <w:rFonts w:ascii="Arial" w:cs="Arial" w:eastAsia="Arial" w:hAnsi="Arial"/>
              </w:rPr>
              <w:t xml:space="preserve">510</w:t>
            </w:r>
          </w:p>
        </w:tc>
        <w:tc>
          <w:tcPr>
            <w:tcW w:type="dxa" w:w="1927"/>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color w:val="1A1A1A"/>
                <w:sz w:val="20"/>
                <w:szCs w:val="20"/>
                <w:rFonts w:ascii="Arial" w:cs="Arial" w:eastAsia="Arial" w:hAnsi="Arial"/>
              </w:rPr>
              <w:t xml:space="preserve">612</w:t>
            </w:r>
          </w:p>
        </w:tc>
        <w:tc>
          <w:tcPr>
            <w:tcW w:type="dxa" w:w="1927"/>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color w:val="1A1A1A"/>
                <w:sz w:val="20"/>
                <w:szCs w:val="20"/>
                <w:rFonts w:ascii="Arial" w:cs="Arial" w:eastAsia="Arial" w:hAnsi="Arial"/>
              </w:rPr>
              <w:t xml:space="preserve">+20.0%</w:t>
            </w:r>
          </w:p>
        </w:tc>
      </w:tr>
      <w:tr>
        <w:tc>
          <w:tcPr>
            <w:tcW w:type="dxa" w:w="1927"/>
            <w:tcBorders>
              <w:top w:val="single" w:color="CCCCCC" w:sz="1"/>
              <w:left w:val="single" w:color="CCCCCC" w:sz="1"/>
              <w:bottom w:val="single" w:color="CCCCCC" w:sz="1"/>
              <w:right w:val="single" w:color="CCCCCC" w:sz="1"/>
            </w:tcBorders>
            <w:shd w:fill="F7F8FA" w:val="clear"/>
            <w:tcMar>
              <w:top w:type="dxa" w:w="60"/>
              <w:left w:type="dxa" w:w="120"/>
              <w:bottom w:type="dxa" w:w="60"/>
              <w:right w:type="dxa" w:w="120"/>
            </w:tcMar>
          </w:tcPr>
          <w:p>
            <w:r>
              <w:rPr>
                <w:b w:val="false"/>
                <w:bCs w:val="false"/>
                <w:color w:val="1A1A1A"/>
                <w:sz w:val="20"/>
                <w:szCs w:val="20"/>
                <w:rFonts w:ascii="Arial" w:cs="Arial" w:eastAsia="Arial" w:hAnsi="Arial"/>
              </w:rPr>
              <w:t xml:space="preserve">Net Income ($M)</w:t>
            </w:r>
          </w:p>
        </w:tc>
        <w:tc>
          <w:tcPr>
            <w:tcW w:type="dxa" w:w="1927"/>
            <w:tcBorders>
              <w:top w:val="single" w:color="CCCCCC" w:sz="1"/>
              <w:left w:val="single" w:color="CCCCCC" w:sz="1"/>
              <w:bottom w:val="single" w:color="CCCCCC" w:sz="1"/>
              <w:right w:val="single" w:color="CCCCCC" w:sz="1"/>
            </w:tcBorders>
            <w:shd w:fill="F7F8FA" w:val="clear"/>
            <w:tcMar>
              <w:top w:type="dxa" w:w="60"/>
              <w:left w:type="dxa" w:w="120"/>
              <w:bottom w:type="dxa" w:w="60"/>
              <w:right w:type="dxa" w:w="120"/>
            </w:tcMar>
          </w:tcPr>
          <w:p>
            <w:r>
              <w:rPr>
                <w:b w:val="false"/>
                <w:bCs w:val="false"/>
                <w:color w:val="1A1A1A"/>
                <w:sz w:val="20"/>
                <w:szCs w:val="20"/>
                <w:rFonts w:ascii="Arial" w:cs="Arial" w:eastAsia="Arial" w:hAnsi="Arial"/>
              </w:rPr>
              <w:t xml:space="preserve">184</w:t>
            </w:r>
          </w:p>
        </w:tc>
        <w:tc>
          <w:tcPr>
            <w:tcW w:type="dxa" w:w="1927"/>
            <w:tcBorders>
              <w:top w:val="single" w:color="CCCCCC" w:sz="1"/>
              <w:left w:val="single" w:color="CCCCCC" w:sz="1"/>
              <w:bottom w:val="single" w:color="CCCCCC" w:sz="1"/>
              <w:right w:val="single" w:color="CCCCCC" w:sz="1"/>
            </w:tcBorders>
            <w:shd w:fill="F7F8FA" w:val="clear"/>
            <w:tcMar>
              <w:top w:type="dxa" w:w="60"/>
              <w:left w:type="dxa" w:w="120"/>
              <w:bottom w:type="dxa" w:w="60"/>
              <w:right w:type="dxa" w:w="120"/>
            </w:tcMar>
          </w:tcPr>
          <w:p>
            <w:r>
              <w:rPr>
                <w:b w:val="false"/>
                <w:bCs w:val="false"/>
                <w:color w:val="1A1A1A"/>
                <w:sz w:val="20"/>
                <w:szCs w:val="20"/>
                <w:rFonts w:ascii="Arial" w:cs="Arial" w:eastAsia="Arial" w:hAnsi="Arial"/>
              </w:rPr>
              <w:t xml:space="preserve">245</w:t>
            </w:r>
          </w:p>
        </w:tc>
        <w:tc>
          <w:tcPr>
            <w:tcW w:type="dxa" w:w="1927"/>
            <w:tcBorders>
              <w:top w:val="single" w:color="CCCCCC" w:sz="1"/>
              <w:left w:val="single" w:color="CCCCCC" w:sz="1"/>
              <w:bottom w:val="single" w:color="CCCCCC" w:sz="1"/>
              <w:right w:val="single" w:color="CCCCCC" w:sz="1"/>
            </w:tcBorders>
            <w:shd w:fill="F7F8FA" w:val="clear"/>
            <w:tcMar>
              <w:top w:type="dxa" w:w="60"/>
              <w:left w:type="dxa" w:w="120"/>
              <w:bottom w:type="dxa" w:w="60"/>
              <w:right w:type="dxa" w:w="120"/>
            </w:tcMar>
          </w:tcPr>
          <w:p>
            <w:r>
              <w:rPr>
                <w:b w:val="false"/>
                <w:bCs w:val="false"/>
                <w:color w:val="1A1A1A"/>
                <w:sz w:val="20"/>
                <w:szCs w:val="20"/>
                <w:rFonts w:ascii="Arial" w:cs="Arial" w:eastAsia="Arial" w:hAnsi="Arial"/>
              </w:rPr>
              <w:t xml:space="preserve">308</w:t>
            </w:r>
          </w:p>
        </w:tc>
        <w:tc>
          <w:tcPr>
            <w:tcW w:type="dxa" w:w="1927"/>
            <w:tcBorders>
              <w:top w:val="single" w:color="CCCCCC" w:sz="1"/>
              <w:left w:val="single" w:color="CCCCCC" w:sz="1"/>
              <w:bottom w:val="single" w:color="CCCCCC" w:sz="1"/>
              <w:right w:val="single" w:color="CCCCCC" w:sz="1"/>
            </w:tcBorders>
            <w:shd w:fill="F7F8FA" w:val="clear"/>
            <w:tcMar>
              <w:top w:type="dxa" w:w="60"/>
              <w:left w:type="dxa" w:w="120"/>
              <w:bottom w:type="dxa" w:w="60"/>
              <w:right w:type="dxa" w:w="120"/>
            </w:tcMar>
          </w:tcPr>
          <w:p>
            <w:r>
              <w:rPr>
                <w:b w:val="false"/>
                <w:bCs w:val="false"/>
                <w:color w:val="1A1A1A"/>
                <w:sz w:val="20"/>
                <w:szCs w:val="20"/>
                <w:rFonts w:ascii="Arial" w:cs="Arial" w:eastAsia="Arial" w:hAnsi="Arial"/>
              </w:rPr>
              <w:t xml:space="preserve">+25.7%</w:t>
            </w:r>
          </w:p>
        </w:tc>
      </w:tr>
      <w:tr>
        <w:tc>
          <w:tcPr>
            <w:tcW w:type="dxa" w:w="1927"/>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color w:val="1A1A1A"/>
                <w:sz w:val="20"/>
                <w:szCs w:val="20"/>
                <w:rFonts w:ascii="Arial" w:cs="Arial" w:eastAsia="Arial" w:hAnsi="Arial"/>
              </w:rPr>
              <w:t xml:space="preserve">EPS ($)</w:t>
            </w:r>
          </w:p>
        </w:tc>
        <w:tc>
          <w:tcPr>
            <w:tcW w:type="dxa" w:w="1927"/>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color w:val="1A1A1A"/>
                <w:sz w:val="20"/>
                <w:szCs w:val="20"/>
                <w:rFonts w:ascii="Arial" w:cs="Arial" w:eastAsia="Arial" w:hAnsi="Arial"/>
              </w:rPr>
              <w:t xml:space="preserve">0.42</w:t>
            </w:r>
          </w:p>
        </w:tc>
        <w:tc>
          <w:tcPr>
            <w:tcW w:type="dxa" w:w="1927"/>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color w:val="1A1A1A"/>
                <w:sz w:val="20"/>
                <w:szCs w:val="20"/>
                <w:rFonts w:ascii="Arial" w:cs="Arial" w:eastAsia="Arial" w:hAnsi="Arial"/>
              </w:rPr>
              <w:t xml:space="preserve">0.56</w:t>
            </w:r>
          </w:p>
        </w:tc>
        <w:tc>
          <w:tcPr>
            <w:tcW w:type="dxa" w:w="1927"/>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color w:val="1A1A1A"/>
                <w:sz w:val="20"/>
                <w:szCs w:val="20"/>
                <w:rFonts w:ascii="Arial" w:cs="Arial" w:eastAsia="Arial" w:hAnsi="Arial"/>
              </w:rPr>
              <w:t xml:space="preserve">0.70</w:t>
            </w:r>
          </w:p>
        </w:tc>
        <w:tc>
          <w:tcPr>
            <w:tcW w:type="dxa" w:w="1927"/>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color w:val="1A1A1A"/>
                <w:sz w:val="20"/>
                <w:szCs w:val="20"/>
                <w:rFonts w:ascii="Arial" w:cs="Arial" w:eastAsia="Arial" w:hAnsi="Arial"/>
              </w:rPr>
              <w:t xml:space="preserve">+25.0%</w:t>
            </w:r>
          </w:p>
        </w:tc>
      </w:tr>
    </w:tbl>
    <w:p>
      <w:pPr>
        <w:spacing w:before="80" w:after="160"/>
      </w:pPr>
      <w:r>
        <w:rPr>
          <w:i/>
          <w:iCs/>
          <w:color w:val="777777"/>
          <w:sz w:val="18"/>
          <w:szCs w:val="18"/>
          <w:rFonts w:ascii="Arial" w:cs="Arial" w:eastAsia="Arial" w:hAnsi="Arial"/>
        </w:rPr>
        <w:t xml:space="preserve">All figures in USD millions unless stated otherwise.</w:t>
      </w:r>
    </w:p>
    <w:p>
      <w:pPr>
        <w:pStyle w:val="Heading2"/>
        <w:spacing w:before="240" w:after="160"/>
      </w:pPr>
      <w:r>
        <w:rPr>
          <w:b/>
          <w:bCs/>
          <w:color w:val="1B3A6B"/>
          <w:sz w:val="32"/>
          <w:szCs w:val="32"/>
          <w:rFonts w:ascii="Arial" w:cs="Arial" w:eastAsia="Arial" w:hAnsi="Arial"/>
        </w:rPr>
        <w:t xml:space="preserve">EBITDA &amp; Net Income Trend</w:t>
      </w:r>
    </w:p>
    <w:p>
      <w:r>
        <w:rPr>
          <w:i/>
          <w:iCs/>
          <w:color w:val="999999"/>
          <w:sz w:val="20"/>
          <w:szCs w:val="20"/>
          <w:rFonts w:ascii="Arial" w:cs="Arial" w:eastAsia="Arial" w:hAnsi="Arial"/>
        </w:rPr>
        <w:t xml:space="preserve">[Chart: EBITDA &amp; Net Income Trend — rendering unavailable]</w:t>
      </w:r>
    </w:p>
    <w:p>
      <w:pPr>
        <w:spacing w:before="80" w:after="200"/>
        <w:jc w:val="center"/>
      </w:pPr>
      <w:r>
        <w:rPr>
          <w:i/>
          <w:iCs/>
          <w:color w:val="777777"/>
          <w:sz w:val="18"/>
          <w:szCs w:val="18"/>
          <w:rFonts w:ascii="Arial" w:cs="Arial" w:eastAsia="Arial" w:hAnsi="Arial"/>
        </w:rPr>
        <w:t xml:space="preserve">Figure 3: EBITDA and Net Income trajectory (USD millions).</w:t>
      </w:r>
    </w:p>
    <w:p>
      <w:pPr>
        <w:pStyle w:val="Heading1"/>
        <w:pageBreakBefore/>
        <w:pBdr>
          <w:top w:val="nil" w:color="FFFFFF" w:sz="0"/>
          <w:bottom w:val="single" w:color="1B3A6B" w:sz="16" w:space="4"/>
          <w:left w:val="nil" w:color="FFFFFF" w:sz="0"/>
          <w:right w:val="nil" w:color="FFFFFF" w:sz="0"/>
        </w:pBdr>
        <w:spacing w:before="0" w:after="200"/>
      </w:pPr>
      <w:r>
        <w:rPr>
          <w:b/>
          <w:bCs/>
          <w:color w:val="1B3A6B"/>
          <w:sz w:val="40"/>
          <w:szCs w:val="40"/>
          <w:rFonts w:ascii="Arial" w:cs="Arial" w:eastAsia="Arial" w:hAnsi="Arial"/>
        </w:rPr>
        <w:t xml:space="preserve">Technology Transformation</w:t>
      </w:r>
    </w:p>
    <w:p>
      <w:pPr>
        <w:pStyle w:val="Heading2"/>
        <w:spacing w:before="240" w:after="120"/>
      </w:pPr>
      <w:r>
        <w:rPr>
          <w:b/>
          <w:bCs/>
          <w:color w:val="1B3A6B"/>
          <w:sz w:val="32"/>
          <w:szCs w:val="32"/>
          <w:rFonts w:ascii="Arial" w:cs="Arial" w:eastAsia="Arial" w:hAnsi="Arial"/>
        </w:rPr>
        <w:t xml:space="preserve">AI-Powered Accounts Payable</w:t>
      </w:r>
    </w:p>
    <w:p>
      <w:pPr>
        <w:spacing w:before="0" w:after="160"/>
      </w:pPr>
      <w:r>
        <w:rPr>
          <w:sz w:val="22"/>
          <w:szCs w:val="22"/>
          <w:rFonts w:ascii="Arial" w:cs="Arial" w:eastAsia="Arial" w:hAnsi="Arial"/>
        </w:rPr>
        <w:t xml:space="preserve">Infosys started at the foundation, completely reimagining Americana Restaurants' document-centric workflows for an enterprise set to turn AI-first. The deployment of Infosys Accounts Payable Solution on the cloud and its application enterprise-wide ensured that Americana Restaurants significantly improved efficiency, reducing processing times, minimizing errors, and optimizing costs.</w:t>
      </w:r>
    </w:p>
    <w:p>
      <w:pPr>
        <w:spacing w:before="0" w:after="160"/>
      </w:pPr>
      <w:r>
        <w:rPr>
          <w:sz w:val="22"/>
          <w:szCs w:val="22"/>
          <w:rFonts w:ascii="Arial" w:cs="Arial" w:eastAsia="Arial" w:hAnsi="Arial"/>
        </w:rPr>
        <w:t xml:space="preserve">The integration of agentic AI that followed has made their invoice processing largely autonomous. AI agents process invoices end-to-end and offer support for multiple languages while managing complex validations and diverse expense types, and processing exceptions with minimal human intervention.</w:t>
      </w:r>
    </w:p>
    <w:p>
      <w:pPr>
        <w:pStyle w:val="Heading2"/>
        <w:spacing w:before="240" w:after="160"/>
      </w:pPr>
      <w:r>
        <w:rPr>
          <w:b/>
          <w:bCs/>
          <w:color w:val="1B3A6B"/>
          <w:sz w:val="32"/>
          <w:szCs w:val="32"/>
          <w:rFonts w:ascii="Arial" w:cs="Arial" w:eastAsia="Arial" w:hAnsi="Arial"/>
        </w:rPr>
        <w:t xml:space="preserve">Transformation Outcomes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09"/>
      </w:tblGrid>
      <w:tr>
        <w:tc>
          <w:tcPr>
            <w:tcW w:type="dxa" w:w="2409"/>
            <w:tcBorders>
              <w:top w:val="nil" w:color="FFFFFF" w:sz="0"/>
              <w:left w:val="nil" w:color="FFFFFF" w:sz="0"/>
              <w:bottom w:val="nil" w:color="FFFFFF" w:sz="0"/>
              <w:right w:val="nil" w:color="FFFFFF" w:sz="0"/>
            </w:tcBorders>
            <w:shd w:fill="1B3A6B" w:val="clear"/>
            <w:tcMar>
              <w:top w:type="dxa" w:w="80"/>
              <w:left w:type="dxa" w:w="160"/>
              <w:bottom w:type="dxa" w:w="80"/>
              <w:right w:type="dxa" w:w="160"/>
            </w:tcMar>
          </w:tcPr>
          <w:p>
            <w:pPr>
              <w:jc w:val="center"/>
            </w:pPr>
            <w:r>
              <w:rPr>
                <w:b/>
                <w:bCs/>
                <w:color w:val="FFFFFF"/>
                <w:sz w:val="18"/>
                <w:szCs w:val="18"/>
                <w:rFonts w:ascii="Arial" w:cs="Arial" w:eastAsia="Arial" w:hAnsi="Arial"/>
              </w:rPr>
              <w:t xml:space="preserve">Processing Time Reduction</w:t>
            </w:r>
          </w:p>
        </w:tc>
        <w:tc>
          <w:tcPr>
            <w:tcW w:type="dxa" w:w="2409"/>
            <w:tcBorders>
              <w:top w:val="nil" w:color="FFFFFF" w:sz="0"/>
              <w:left w:val="nil" w:color="FFFFFF" w:sz="0"/>
              <w:bottom w:val="nil" w:color="FFFFFF" w:sz="0"/>
              <w:right w:val="nil" w:color="FFFFFF" w:sz="0"/>
            </w:tcBorders>
            <w:shd w:fill="1B3A6B" w:val="clear"/>
            <w:tcMar>
              <w:top w:type="dxa" w:w="80"/>
              <w:left w:type="dxa" w:w="160"/>
              <w:bottom w:type="dxa" w:w="80"/>
              <w:right w:type="dxa" w:w="160"/>
            </w:tcMar>
          </w:tcPr>
          <w:p>
            <w:pPr>
              <w:jc w:val="center"/>
            </w:pPr>
            <w:r>
              <w:rPr>
                <w:b/>
                <w:bCs/>
                <w:color w:val="FFFFFF"/>
                <w:sz w:val="18"/>
                <w:szCs w:val="18"/>
                <w:rFonts w:ascii="Arial" w:cs="Arial" w:eastAsia="Arial" w:hAnsi="Arial"/>
              </w:rPr>
              <w:t xml:space="preserve">Error Rate Reduction</w:t>
            </w:r>
          </w:p>
        </w:tc>
        <w:tc>
          <w:tcPr>
            <w:tcW w:type="dxa" w:w="2409"/>
            <w:tcBorders>
              <w:top w:val="nil" w:color="FFFFFF" w:sz="0"/>
              <w:left w:val="nil" w:color="FFFFFF" w:sz="0"/>
              <w:bottom w:val="nil" w:color="FFFFFF" w:sz="0"/>
              <w:right w:val="nil" w:color="FFFFFF" w:sz="0"/>
            </w:tcBorders>
            <w:shd w:fill="1B3A6B" w:val="clear"/>
            <w:tcMar>
              <w:top w:type="dxa" w:w="80"/>
              <w:left w:type="dxa" w:w="160"/>
              <w:bottom w:type="dxa" w:w="80"/>
              <w:right w:type="dxa" w:w="160"/>
            </w:tcMar>
          </w:tcPr>
          <w:p>
            <w:pPr>
              <w:jc w:val="center"/>
            </w:pPr>
            <w:r>
              <w:rPr>
                <w:b/>
                <w:bCs/>
                <w:color w:val="FFFFFF"/>
                <w:sz w:val="18"/>
                <w:szCs w:val="18"/>
                <w:rFonts w:ascii="Arial" w:cs="Arial" w:eastAsia="Arial" w:hAnsi="Arial"/>
              </w:rPr>
              <w:t xml:space="preserve">Invoices Automated</w:t>
            </w:r>
          </w:p>
        </w:tc>
        <w:tc>
          <w:tcPr>
            <w:tcW w:type="dxa" w:w="2409"/>
            <w:tcBorders>
              <w:top w:val="nil" w:color="FFFFFF" w:sz="0"/>
              <w:left w:val="nil" w:color="FFFFFF" w:sz="0"/>
              <w:bottom w:val="nil" w:color="FFFFFF" w:sz="0"/>
              <w:right w:val="nil" w:color="FFFFFF" w:sz="0"/>
            </w:tcBorders>
            <w:shd w:fill="1B3A6B" w:val="clear"/>
            <w:tcMar>
              <w:top w:type="dxa" w:w="80"/>
              <w:left w:type="dxa" w:w="160"/>
              <w:bottom w:type="dxa" w:w="80"/>
              <w:right w:type="dxa" w:w="160"/>
            </w:tcMar>
          </w:tcPr>
          <w:p>
            <w:pPr>
              <w:jc w:val="center"/>
            </w:pPr>
            <w:r>
              <w:rPr>
                <w:b/>
                <w:bCs/>
                <w:color w:val="FFFFFF"/>
                <w:sz w:val="18"/>
                <w:szCs w:val="18"/>
                <w:rFonts w:ascii="Arial" w:cs="Arial" w:eastAsia="Arial" w:hAnsi="Arial"/>
              </w:rPr>
              <w:t xml:space="preserve">Cost Savings</w:t>
            </w:r>
          </w:p>
        </w:tc>
      </w:tr>
      <w:tr>
        <w:tc>
          <w:tcPr>
            <w:tcW w:type="dxa" w:w="2409"/>
            <w:tcBorders>
              <w:top w:val="nil" w:color="FFFFFF" w:sz="0"/>
              <w:left w:val="nil" w:color="FFFFFF" w:sz="0"/>
              <w:bottom w:val="nil" w:color="FFFFFF" w:sz="0"/>
              <w:right w:val="nil" w:color="FFFFFF" w:sz="0"/>
            </w:tcBorders>
            <w:shd w:fill="E8EDF5" w:val="clear"/>
            <w:tcMar>
              <w:top w:type="dxa" w:w="120"/>
              <w:left w:type="dxa" w:w="160"/>
              <w:bottom w:type="dxa" w:w="120"/>
              <w:right w:type="dxa" w:w="160"/>
            </w:tcMar>
            <w:vAlign w:val="center"/>
          </w:tcPr>
          <w:p>
            <w:pPr>
              <w:jc w:val="center"/>
            </w:pPr>
            <w:r>
              <w:rPr>
                <w:b/>
                <w:bCs/>
                <w:color w:val="1A1A1A"/>
                <w:sz w:val="44"/>
                <w:szCs w:val="44"/>
                <w:rFonts w:ascii="Arial" w:cs="Arial" w:eastAsia="Arial" w:hAnsi="Arial"/>
              </w:rPr>
              <w:t xml:space="preserve">73%</w:t>
            </w:r>
          </w:p>
          <w:p>
            <w:pPr>
              <w:jc w:val="center"/>
            </w:pPr>
            <w:r>
              <w:rPr>
                <w:b/>
                <w:bCs/>
                <w:color w:val="2E7D32"/>
                <w:sz w:val="18"/>
                <w:szCs w:val="18"/>
                <w:rFonts w:ascii="Arial" w:cs="Arial" w:eastAsia="Arial" w:hAnsi="Arial"/>
              </w:rPr>
              <w:t xml:space="preserve">vs. baseline</w:t>
            </w:r>
          </w:p>
        </w:tc>
        <w:tc>
          <w:tcPr>
            <w:tcW w:type="dxa" w:w="2409"/>
            <w:tcBorders>
              <w:top w:val="nil" w:color="FFFFFF" w:sz="0"/>
              <w:left w:val="nil" w:color="FFFFFF" w:sz="0"/>
              <w:bottom w:val="nil" w:color="FFFFFF" w:sz="0"/>
              <w:right w:val="nil" w:color="FFFFFF" w:sz="0"/>
            </w:tcBorders>
            <w:shd w:fill="E8EDF5" w:val="clear"/>
            <w:tcMar>
              <w:top w:type="dxa" w:w="120"/>
              <w:left w:type="dxa" w:w="160"/>
              <w:bottom w:type="dxa" w:w="120"/>
              <w:right w:type="dxa" w:w="160"/>
            </w:tcMar>
            <w:vAlign w:val="center"/>
          </w:tcPr>
          <w:p>
            <w:pPr>
              <w:jc w:val="center"/>
            </w:pPr>
            <w:r>
              <w:rPr>
                <w:b/>
                <w:bCs/>
                <w:color w:val="1A1A1A"/>
                <w:sz w:val="44"/>
                <w:szCs w:val="44"/>
                <w:rFonts w:ascii="Arial" w:cs="Arial" w:eastAsia="Arial" w:hAnsi="Arial"/>
              </w:rPr>
              <w:t xml:space="preserve">89%</w:t>
            </w:r>
          </w:p>
          <w:p>
            <w:pPr>
              <w:jc w:val="center"/>
            </w:pPr>
            <w:r>
              <w:rPr>
                <w:b/>
                <w:bCs/>
                <w:color w:val="2E7D32"/>
                <w:sz w:val="18"/>
                <w:szCs w:val="18"/>
                <w:rFonts w:ascii="Arial" w:cs="Arial" w:eastAsia="Arial" w:hAnsi="Arial"/>
              </w:rPr>
              <w:t xml:space="preserve">vs. baseline</w:t>
            </w:r>
          </w:p>
        </w:tc>
        <w:tc>
          <w:tcPr>
            <w:tcW w:type="dxa" w:w="2409"/>
            <w:tcBorders>
              <w:top w:val="nil" w:color="FFFFFF" w:sz="0"/>
              <w:left w:val="nil" w:color="FFFFFF" w:sz="0"/>
              <w:bottom w:val="nil" w:color="FFFFFF" w:sz="0"/>
              <w:right w:val="nil" w:color="FFFFFF" w:sz="0"/>
            </w:tcBorders>
            <w:shd w:fill="E8EDF5" w:val="clear"/>
            <w:tcMar>
              <w:top w:type="dxa" w:w="120"/>
              <w:left w:type="dxa" w:w="160"/>
              <w:bottom w:type="dxa" w:w="120"/>
              <w:right w:type="dxa" w:w="160"/>
            </w:tcMar>
            <w:vAlign w:val="center"/>
          </w:tcPr>
          <w:p>
            <w:pPr>
              <w:jc w:val="center"/>
            </w:pPr>
            <w:r>
              <w:rPr>
                <w:b/>
                <w:bCs/>
                <w:color w:val="1A1A1A"/>
                <w:sz w:val="44"/>
                <w:szCs w:val="44"/>
                <w:rFonts w:ascii="Arial" w:cs="Arial" w:eastAsia="Arial" w:hAnsi="Arial"/>
              </w:rPr>
              <w:t xml:space="preserve">94%</w:t>
            </w:r>
          </w:p>
          <w:p>
            <w:pPr>
              <w:jc w:val="center"/>
            </w:pPr>
            <w:r>
              <w:rPr>
                <w:b/>
                <w:bCs/>
                <w:color w:val="2E7D32"/>
                <w:sz w:val="18"/>
                <w:szCs w:val="18"/>
                <w:rFonts w:ascii="Arial" w:cs="Arial" w:eastAsia="Arial" w:hAnsi="Arial"/>
              </w:rPr>
              <w:t xml:space="preserve">end-to-end</w:t>
            </w:r>
          </w:p>
        </w:tc>
        <w:tc>
          <w:tcPr>
            <w:tcW w:type="dxa" w:w="2409"/>
            <w:tcBorders>
              <w:top w:val="nil" w:color="FFFFFF" w:sz="0"/>
              <w:left w:val="nil" w:color="FFFFFF" w:sz="0"/>
              <w:bottom w:val="nil" w:color="FFFFFF" w:sz="0"/>
              <w:right w:val="nil" w:color="FFFFFF" w:sz="0"/>
            </w:tcBorders>
            <w:shd w:fill="E8EDF5" w:val="clear"/>
            <w:tcMar>
              <w:top w:type="dxa" w:w="120"/>
              <w:left w:type="dxa" w:w="160"/>
              <w:bottom w:type="dxa" w:w="120"/>
              <w:right w:type="dxa" w:w="160"/>
            </w:tcMar>
            <w:vAlign w:val="center"/>
          </w:tcPr>
          <w:p>
            <w:pPr>
              <w:jc w:val="center"/>
            </w:pPr>
            <w:r>
              <w:rPr>
                <w:b/>
                <w:bCs/>
                <w:color w:val="1A1A1A"/>
                <w:sz w:val="44"/>
                <w:szCs w:val="44"/>
                <w:rFonts w:ascii="Arial" w:cs="Arial" w:eastAsia="Arial" w:hAnsi="Arial"/>
              </w:rPr>
              <w:t xml:space="preserve">$12M</w:t>
            </w:r>
          </w:p>
          <w:p>
            <w:pPr>
              <w:jc w:val="center"/>
            </w:pPr>
            <w:r>
              <w:rPr>
                <w:b/>
                <w:bCs/>
                <w:color w:val="2E7D32"/>
                <w:sz w:val="18"/>
                <w:szCs w:val="18"/>
                <w:rFonts w:ascii="Arial" w:cs="Arial" w:eastAsia="Arial" w:hAnsi="Arial"/>
              </w:rPr>
              <w:t xml:space="preserve">Annual</w:t>
            </w:r>
          </w:p>
        </w:tc>
      </w:tr>
    </w:tbl>
    <w:p>
      <w:pPr>
        <w:spacing w:before="0" w:after="240"/>
      </w:pPr>
    </w:p>
    <w:p>
      <w:pPr>
        <w:pStyle w:val="Heading2"/>
        <w:spacing w:before="240" w:after="120"/>
      </w:pPr>
      <w:r>
        <w:rPr>
          <w:b/>
          <w:bCs/>
          <w:color w:val="1B3A6B"/>
          <w:sz w:val="32"/>
          <w:szCs w:val="32"/>
          <w:rFonts w:ascii="Arial" w:cs="Arial" w:eastAsia="Arial" w:hAnsi="Arial"/>
        </w:rPr>
        <w:t xml:space="preserve">Key Technology Initiatives in 2024</w:t>
      </w:r>
    </w:p>
    <w:p>
      <w:pPr>
        <w:pStyle w:val="ListParagraph"/>
        <w:numPr>
          <w:ilvl w:val="0"/>
          <w:numId w:val="2"/>
        </w:numPr>
        <w:spacing w:before="40" w:after="40"/>
      </w:pPr>
      <w:r>
        <w:rPr>
          <w:sz w:val="22"/>
          <w:szCs w:val="22"/>
          <w:rFonts w:ascii="Arial" w:cs="Arial" w:eastAsia="Arial" w:hAnsi="Arial"/>
        </w:rPr>
        <w:t xml:space="preserve">Deployment of Infosys Accounts Payable Solution across all 12 countries</w:t>
      </w:r>
    </w:p>
    <w:p>
      <w:pPr>
        <w:pStyle w:val="ListParagraph"/>
        <w:numPr>
          <w:ilvl w:val="0"/>
          <w:numId w:val="2"/>
        </w:numPr>
        <w:spacing w:before="40" w:after="40"/>
      </w:pPr>
      <w:r>
        <w:rPr>
          <w:sz w:val="22"/>
          <w:szCs w:val="22"/>
          <w:rFonts w:ascii="Arial" w:cs="Arial" w:eastAsia="Arial" w:hAnsi="Arial"/>
        </w:rPr>
        <w:t xml:space="preserve">Integration of agentic AI for autonomous invoice processing with multi-language support</w:t>
      </w:r>
    </w:p>
    <w:p>
      <w:pPr>
        <w:pStyle w:val="ListParagraph"/>
        <w:numPr>
          <w:ilvl w:val="0"/>
          <w:numId w:val="2"/>
        </w:numPr>
        <w:spacing w:before="40" w:after="40"/>
      </w:pPr>
      <w:r>
        <w:rPr>
          <w:sz w:val="22"/>
          <w:szCs w:val="22"/>
          <w:rFonts w:ascii="Arial" w:cs="Arial" w:eastAsia="Arial" w:hAnsi="Arial"/>
        </w:rPr>
        <w:t xml:space="preserve">Implementation of BPM framework for enterprise-wide process transparency</w:t>
      </w:r>
    </w:p>
    <w:p>
      <w:pPr>
        <w:pStyle w:val="ListParagraph"/>
        <w:numPr>
          <w:ilvl w:val="0"/>
          <w:numId w:val="2"/>
        </w:numPr>
        <w:spacing w:before="40" w:after="40"/>
      </w:pPr>
      <w:r>
        <w:rPr>
          <w:sz w:val="22"/>
          <w:szCs w:val="22"/>
          <w:rFonts w:ascii="Arial" w:cs="Arial" w:eastAsia="Arial" w:hAnsi="Arial"/>
        </w:rPr>
        <w:t xml:space="preserve">Cloud migration of core financial systems reducing infrastructure costs by 31%</w:t>
      </w:r>
    </w:p>
    <w:p>
      <w:pPr>
        <w:pStyle w:val="ListParagraph"/>
        <w:numPr>
          <w:ilvl w:val="0"/>
          <w:numId w:val="2"/>
        </w:numPr>
        <w:spacing w:before="40" w:after="40"/>
      </w:pPr>
      <w:r>
        <w:rPr>
          <w:sz w:val="22"/>
          <w:szCs w:val="22"/>
          <w:rFonts w:ascii="Arial" w:cs="Arial" w:eastAsia="Arial" w:hAnsi="Arial"/>
        </w:rPr>
        <w:t xml:space="preserve">Launch of intuitive self-service portal accessible from desktop and mobile devices</w:t>
      </w:r>
    </w:p>
    <w:p>
      <w:pPr>
        <w:pStyle w:val="ListParagraph"/>
        <w:numPr>
          <w:ilvl w:val="0"/>
          <w:numId w:val="2"/>
        </w:numPr>
        <w:spacing w:before="40" w:after="40"/>
      </w:pPr>
      <w:r>
        <w:rPr>
          <w:sz w:val="22"/>
          <w:szCs w:val="22"/>
          <w:rFonts w:ascii="Arial" w:cs="Arial" w:eastAsia="Arial" w:hAnsi="Arial"/>
        </w:rPr>
        <w:t xml:space="preserve">Real-time dashboards enabling visibility into AP processes for all stakeholders</w:t>
      </w:r>
    </w:p>
    <w:p>
      <w:pPr>
        <w:spacing w:before="0" w:after="160"/>
      </w:pPr>
    </w:p>
    <w:p>
      <w:pPr>
        <w:pStyle w:val="Heading1"/>
        <w:pageBreakBefore/>
        <w:pBdr>
          <w:top w:val="nil" w:color="FFFFFF" w:sz="0"/>
          <w:bottom w:val="single" w:color="1B3A6B" w:sz="16" w:space="4"/>
          <w:left w:val="nil" w:color="FFFFFF" w:sz="0"/>
          <w:right w:val="nil" w:color="FFFFFF" w:sz="0"/>
        </w:pBdr>
        <w:spacing w:before="0" w:after="200"/>
      </w:pPr>
      <w:r>
        <w:rPr>
          <w:b/>
          <w:bCs/>
          <w:color w:val="1B3A6B"/>
          <w:sz w:val="40"/>
          <w:szCs w:val="40"/>
          <w:rFonts w:ascii="Arial" w:cs="Arial" w:eastAsia="Arial" w:hAnsi="Arial"/>
        </w:rPr>
        <w:t xml:space="preserve">Regional Expansion</w:t>
      </w:r>
    </w:p>
    <w:p>
      <w:pPr>
        <w:pStyle w:val="Heading2"/>
        <w:spacing w:before="240" w:after="160"/>
      </w:pPr>
      <w:r>
        <w:rPr>
          <w:b/>
          <w:bCs/>
          <w:color w:val="1B3A6B"/>
          <w:sz w:val="32"/>
          <w:szCs w:val="32"/>
          <w:rFonts w:ascii="Arial" w:cs="Arial" w:eastAsia="Arial" w:hAnsi="Arial"/>
        </w:rPr>
        <w:t xml:space="preserve">Restaurant Count by Country (2024)</w:t>
      </w:r>
    </w:p>
    <w:p>
      <w:r>
        <w:rPr>
          <w:i/>
          <w:iCs/>
          <w:color w:val="999999"/>
          <w:sz w:val="20"/>
          <w:szCs w:val="20"/>
          <w:rFonts w:ascii="Arial" w:cs="Arial" w:eastAsia="Arial" w:hAnsi="Arial"/>
        </w:rPr>
        <w:t xml:space="preserve">[Chart: Restaurant Count by Country (2024) — rendering unavailable]</w:t>
      </w:r>
    </w:p>
    <w:p>
      <w:pPr>
        <w:spacing w:before="80" w:after="200"/>
        <w:jc w:val="center"/>
      </w:pPr>
      <w:r>
        <w:rPr>
          <w:i/>
          <w:iCs/>
          <w:color w:val="777777"/>
          <w:sz w:val="18"/>
          <w:szCs w:val="18"/>
          <w:rFonts w:ascii="Arial" w:cs="Arial" w:eastAsia="Arial" w:hAnsi="Arial"/>
        </w:rPr>
        <w:t xml:space="preserve">Figure 4: Restaurant footprint across 12 countries of operation.</w:t>
      </w:r>
    </w:p>
    <w:p>
      <w:pPr>
        <w:pStyle w:val="Heading2"/>
        <w:spacing w:before="240" w:after="160"/>
      </w:pPr>
      <w:r>
        <w:rPr>
          <w:b/>
          <w:bCs/>
          <w:color w:val="1B3A6B"/>
          <w:sz w:val="32"/>
          <w:szCs w:val="32"/>
          <w:rFonts w:ascii="Arial" w:cs="Arial" w:eastAsia="Arial" w:hAnsi="Arial"/>
        </w:rPr>
        <w:t xml:space="preserve">New Restaurant Openings by Brand (2024)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6"/>
      </w:tblGrid>
      <w:tr>
        <w:trPr>
          <w:tblHeader/>
        </w:trPr>
        <w:tc>
          <w:tcPr>
            <w:tcW w:type="dxa" w:w="1606"/>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b/>
                <w:bCs/>
                <w:color w:val="FFFFFF"/>
                <w:sz w:val="20"/>
                <w:szCs w:val="20"/>
                <w:rFonts w:ascii="Arial" w:cs="Arial" w:eastAsia="Arial" w:hAnsi="Arial"/>
              </w:rPr>
              <w:t xml:space="preserve">Brand</w:t>
            </w:r>
          </w:p>
        </w:tc>
        <w:tc>
          <w:tcPr>
            <w:tcW w:type="dxa" w:w="1606"/>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b/>
                <w:bCs/>
                <w:color w:val="FFFFFF"/>
                <w:sz w:val="20"/>
                <w:szCs w:val="20"/>
                <w:rFonts w:ascii="Arial" w:cs="Arial" w:eastAsia="Arial" w:hAnsi="Arial"/>
              </w:rPr>
              <w:t xml:space="preserve">Q1</w:t>
            </w:r>
          </w:p>
        </w:tc>
        <w:tc>
          <w:tcPr>
            <w:tcW w:type="dxa" w:w="1606"/>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b/>
                <w:bCs/>
                <w:color w:val="FFFFFF"/>
                <w:sz w:val="20"/>
                <w:szCs w:val="20"/>
                <w:rFonts w:ascii="Arial" w:cs="Arial" w:eastAsia="Arial" w:hAnsi="Arial"/>
              </w:rPr>
              <w:t xml:space="preserve">Q2</w:t>
            </w:r>
          </w:p>
        </w:tc>
        <w:tc>
          <w:tcPr>
            <w:tcW w:type="dxa" w:w="1606"/>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b/>
                <w:bCs/>
                <w:color w:val="FFFFFF"/>
                <w:sz w:val="20"/>
                <w:szCs w:val="20"/>
                <w:rFonts w:ascii="Arial" w:cs="Arial" w:eastAsia="Arial" w:hAnsi="Arial"/>
              </w:rPr>
              <w:t xml:space="preserve">Q3</w:t>
            </w:r>
          </w:p>
        </w:tc>
        <w:tc>
          <w:tcPr>
            <w:tcW w:type="dxa" w:w="1606"/>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b/>
                <w:bCs/>
                <w:color w:val="FFFFFF"/>
                <w:sz w:val="20"/>
                <w:szCs w:val="20"/>
                <w:rFonts w:ascii="Arial" w:cs="Arial" w:eastAsia="Arial" w:hAnsi="Arial"/>
              </w:rPr>
              <w:t xml:space="preserve">Q4</w:t>
            </w:r>
          </w:p>
        </w:tc>
        <w:tc>
          <w:tcPr>
            <w:tcW w:type="dxa" w:w="1606"/>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b/>
                <w:bCs/>
                <w:color w:val="FFFFFF"/>
                <w:sz w:val="20"/>
                <w:szCs w:val="20"/>
                <w:rFonts w:ascii="Arial" w:cs="Arial" w:eastAsia="Arial" w:hAnsi="Arial"/>
              </w:rPr>
              <w:t xml:space="preserve">Total</w:t>
            </w:r>
          </w:p>
        </w:tc>
      </w:tr>
      <w:tr>
        <w:tc>
          <w:tcPr>
            <w:tcW w:type="dxa" w:w="160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color w:val="1A1A1A"/>
                <w:sz w:val="20"/>
                <w:szCs w:val="20"/>
                <w:rFonts w:ascii="Arial" w:cs="Arial" w:eastAsia="Arial" w:hAnsi="Arial"/>
              </w:rPr>
              <w:t xml:space="preserve">KFC</w:t>
            </w:r>
          </w:p>
        </w:tc>
        <w:tc>
          <w:tcPr>
            <w:tcW w:type="dxa" w:w="160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color w:val="1A1A1A"/>
                <w:sz w:val="20"/>
                <w:szCs w:val="20"/>
                <w:rFonts w:ascii="Arial" w:cs="Arial" w:eastAsia="Arial" w:hAnsi="Arial"/>
              </w:rPr>
              <w:t xml:space="preserve">12</w:t>
            </w:r>
          </w:p>
        </w:tc>
        <w:tc>
          <w:tcPr>
            <w:tcW w:type="dxa" w:w="160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color w:val="1A1A1A"/>
                <w:sz w:val="20"/>
                <w:szCs w:val="20"/>
                <w:rFonts w:ascii="Arial" w:cs="Arial" w:eastAsia="Arial" w:hAnsi="Arial"/>
              </w:rPr>
              <w:t xml:space="preserve">18</w:t>
            </w:r>
          </w:p>
        </w:tc>
        <w:tc>
          <w:tcPr>
            <w:tcW w:type="dxa" w:w="160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color w:val="1A1A1A"/>
                <w:sz w:val="20"/>
                <w:szCs w:val="20"/>
                <w:rFonts w:ascii="Arial" w:cs="Arial" w:eastAsia="Arial" w:hAnsi="Arial"/>
              </w:rPr>
              <w:t xml:space="preserve">14</w:t>
            </w:r>
          </w:p>
        </w:tc>
        <w:tc>
          <w:tcPr>
            <w:tcW w:type="dxa" w:w="160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color w:val="1A1A1A"/>
                <w:sz w:val="20"/>
                <w:szCs w:val="20"/>
                <w:rFonts w:ascii="Arial" w:cs="Arial" w:eastAsia="Arial" w:hAnsi="Arial"/>
              </w:rPr>
              <w:t xml:space="preserve">10</w:t>
            </w:r>
          </w:p>
        </w:tc>
        <w:tc>
          <w:tcPr>
            <w:tcW w:type="dxa" w:w="160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color w:val="1A1A1A"/>
                <w:sz w:val="20"/>
                <w:szCs w:val="20"/>
                <w:rFonts w:ascii="Arial" w:cs="Arial" w:eastAsia="Arial" w:hAnsi="Arial"/>
              </w:rPr>
              <w:t xml:space="preserve">54</w:t>
            </w:r>
          </w:p>
        </w:tc>
      </w:tr>
      <w:tr>
        <w:tc>
          <w:tcPr>
            <w:tcW w:type="dxa" w:w="1606"/>
            <w:tcBorders>
              <w:top w:val="single" w:color="CCCCCC" w:sz="1"/>
              <w:left w:val="single" w:color="CCCCCC" w:sz="1"/>
              <w:bottom w:val="single" w:color="CCCCCC" w:sz="1"/>
              <w:right w:val="single" w:color="CCCCCC" w:sz="1"/>
            </w:tcBorders>
            <w:shd w:fill="F7F8FA" w:val="clear"/>
            <w:tcMar>
              <w:top w:type="dxa" w:w="60"/>
              <w:left w:type="dxa" w:w="120"/>
              <w:bottom w:type="dxa" w:w="60"/>
              <w:right w:type="dxa" w:w="120"/>
            </w:tcMar>
          </w:tcPr>
          <w:p>
            <w:r>
              <w:rPr>
                <w:b w:val="false"/>
                <w:bCs w:val="false"/>
                <w:color w:val="1A1A1A"/>
                <w:sz w:val="20"/>
                <w:szCs w:val="20"/>
                <w:rFonts w:ascii="Arial" w:cs="Arial" w:eastAsia="Arial" w:hAnsi="Arial"/>
              </w:rPr>
              <w:t xml:space="preserve">Pizza Hut</w:t>
            </w:r>
          </w:p>
        </w:tc>
        <w:tc>
          <w:tcPr>
            <w:tcW w:type="dxa" w:w="1606"/>
            <w:tcBorders>
              <w:top w:val="single" w:color="CCCCCC" w:sz="1"/>
              <w:left w:val="single" w:color="CCCCCC" w:sz="1"/>
              <w:bottom w:val="single" w:color="CCCCCC" w:sz="1"/>
              <w:right w:val="single" w:color="CCCCCC" w:sz="1"/>
            </w:tcBorders>
            <w:shd w:fill="F7F8FA" w:val="clear"/>
            <w:tcMar>
              <w:top w:type="dxa" w:w="60"/>
              <w:left w:type="dxa" w:w="120"/>
              <w:bottom w:type="dxa" w:w="60"/>
              <w:right w:type="dxa" w:w="120"/>
            </w:tcMar>
          </w:tcPr>
          <w:p>
            <w:r>
              <w:rPr>
                <w:b w:val="false"/>
                <w:bCs w:val="false"/>
                <w:color w:val="1A1A1A"/>
                <w:sz w:val="20"/>
                <w:szCs w:val="20"/>
                <w:rFonts w:ascii="Arial" w:cs="Arial" w:eastAsia="Arial" w:hAnsi="Arial"/>
              </w:rPr>
              <w:t xml:space="preserve">6</w:t>
            </w:r>
          </w:p>
        </w:tc>
        <w:tc>
          <w:tcPr>
            <w:tcW w:type="dxa" w:w="1606"/>
            <w:tcBorders>
              <w:top w:val="single" w:color="CCCCCC" w:sz="1"/>
              <w:left w:val="single" w:color="CCCCCC" w:sz="1"/>
              <w:bottom w:val="single" w:color="CCCCCC" w:sz="1"/>
              <w:right w:val="single" w:color="CCCCCC" w:sz="1"/>
            </w:tcBorders>
            <w:shd w:fill="F7F8FA" w:val="clear"/>
            <w:tcMar>
              <w:top w:type="dxa" w:w="60"/>
              <w:left w:type="dxa" w:w="120"/>
              <w:bottom w:type="dxa" w:w="60"/>
              <w:right w:type="dxa" w:w="120"/>
            </w:tcMar>
          </w:tcPr>
          <w:p>
            <w:r>
              <w:rPr>
                <w:b w:val="false"/>
                <w:bCs w:val="false"/>
                <w:color w:val="1A1A1A"/>
                <w:sz w:val="20"/>
                <w:szCs w:val="20"/>
                <w:rFonts w:ascii="Arial" w:cs="Arial" w:eastAsia="Arial" w:hAnsi="Arial"/>
              </w:rPr>
              <w:t xml:space="preserve">9</w:t>
            </w:r>
          </w:p>
        </w:tc>
        <w:tc>
          <w:tcPr>
            <w:tcW w:type="dxa" w:w="1606"/>
            <w:tcBorders>
              <w:top w:val="single" w:color="CCCCCC" w:sz="1"/>
              <w:left w:val="single" w:color="CCCCCC" w:sz="1"/>
              <w:bottom w:val="single" w:color="CCCCCC" w:sz="1"/>
              <w:right w:val="single" w:color="CCCCCC" w:sz="1"/>
            </w:tcBorders>
            <w:shd w:fill="F7F8FA" w:val="clear"/>
            <w:tcMar>
              <w:top w:type="dxa" w:w="60"/>
              <w:left w:type="dxa" w:w="120"/>
              <w:bottom w:type="dxa" w:w="60"/>
              <w:right w:type="dxa" w:w="120"/>
            </w:tcMar>
          </w:tcPr>
          <w:p>
            <w:r>
              <w:rPr>
                <w:b w:val="false"/>
                <w:bCs w:val="false"/>
                <w:color w:val="1A1A1A"/>
                <w:sz w:val="20"/>
                <w:szCs w:val="20"/>
                <w:rFonts w:ascii="Arial" w:cs="Arial" w:eastAsia="Arial" w:hAnsi="Arial"/>
              </w:rPr>
              <w:t xml:space="preserve">8</w:t>
            </w:r>
          </w:p>
        </w:tc>
        <w:tc>
          <w:tcPr>
            <w:tcW w:type="dxa" w:w="1606"/>
            <w:tcBorders>
              <w:top w:val="single" w:color="CCCCCC" w:sz="1"/>
              <w:left w:val="single" w:color="CCCCCC" w:sz="1"/>
              <w:bottom w:val="single" w:color="CCCCCC" w:sz="1"/>
              <w:right w:val="single" w:color="CCCCCC" w:sz="1"/>
            </w:tcBorders>
            <w:shd w:fill="F7F8FA" w:val="clear"/>
            <w:tcMar>
              <w:top w:type="dxa" w:w="60"/>
              <w:left w:type="dxa" w:w="120"/>
              <w:bottom w:type="dxa" w:w="60"/>
              <w:right w:type="dxa" w:w="120"/>
            </w:tcMar>
          </w:tcPr>
          <w:p>
            <w:r>
              <w:rPr>
                <w:b w:val="false"/>
                <w:bCs w:val="false"/>
                <w:color w:val="1A1A1A"/>
                <w:sz w:val="20"/>
                <w:szCs w:val="20"/>
                <w:rFonts w:ascii="Arial" w:cs="Arial" w:eastAsia="Arial" w:hAnsi="Arial"/>
              </w:rPr>
              <w:t xml:space="preserve">7</w:t>
            </w:r>
          </w:p>
        </w:tc>
        <w:tc>
          <w:tcPr>
            <w:tcW w:type="dxa" w:w="1606"/>
            <w:tcBorders>
              <w:top w:val="single" w:color="CCCCCC" w:sz="1"/>
              <w:left w:val="single" w:color="CCCCCC" w:sz="1"/>
              <w:bottom w:val="single" w:color="CCCCCC" w:sz="1"/>
              <w:right w:val="single" w:color="CCCCCC" w:sz="1"/>
            </w:tcBorders>
            <w:shd w:fill="F7F8FA" w:val="clear"/>
            <w:tcMar>
              <w:top w:type="dxa" w:w="60"/>
              <w:left w:type="dxa" w:w="120"/>
              <w:bottom w:type="dxa" w:w="60"/>
              <w:right w:type="dxa" w:w="120"/>
            </w:tcMar>
          </w:tcPr>
          <w:p>
            <w:r>
              <w:rPr>
                <w:b w:val="false"/>
                <w:bCs w:val="false"/>
                <w:color w:val="1A1A1A"/>
                <w:sz w:val="20"/>
                <w:szCs w:val="20"/>
                <w:rFonts w:ascii="Arial" w:cs="Arial" w:eastAsia="Arial" w:hAnsi="Arial"/>
              </w:rPr>
              <w:t xml:space="preserve">30</w:t>
            </w:r>
          </w:p>
        </w:tc>
      </w:tr>
      <w:tr>
        <w:tc>
          <w:tcPr>
            <w:tcW w:type="dxa" w:w="160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color w:val="1A1A1A"/>
                <w:sz w:val="20"/>
                <w:szCs w:val="20"/>
                <w:rFonts w:ascii="Arial" w:cs="Arial" w:eastAsia="Arial" w:hAnsi="Arial"/>
              </w:rPr>
              <w:t xml:space="preserve">Hardee's</w:t>
            </w:r>
          </w:p>
        </w:tc>
        <w:tc>
          <w:tcPr>
            <w:tcW w:type="dxa" w:w="160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color w:val="1A1A1A"/>
                <w:sz w:val="20"/>
                <w:szCs w:val="20"/>
                <w:rFonts w:ascii="Arial" w:cs="Arial" w:eastAsia="Arial" w:hAnsi="Arial"/>
              </w:rPr>
              <w:t xml:space="preserve">4</w:t>
            </w:r>
          </w:p>
        </w:tc>
        <w:tc>
          <w:tcPr>
            <w:tcW w:type="dxa" w:w="160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color w:val="1A1A1A"/>
                <w:sz w:val="20"/>
                <w:szCs w:val="20"/>
                <w:rFonts w:ascii="Arial" w:cs="Arial" w:eastAsia="Arial" w:hAnsi="Arial"/>
              </w:rPr>
              <w:t xml:space="preserve">5</w:t>
            </w:r>
          </w:p>
        </w:tc>
        <w:tc>
          <w:tcPr>
            <w:tcW w:type="dxa" w:w="160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color w:val="1A1A1A"/>
                <w:sz w:val="20"/>
                <w:szCs w:val="20"/>
                <w:rFonts w:ascii="Arial" w:cs="Arial" w:eastAsia="Arial" w:hAnsi="Arial"/>
              </w:rPr>
              <w:t xml:space="preserve">4</w:t>
            </w:r>
          </w:p>
        </w:tc>
        <w:tc>
          <w:tcPr>
            <w:tcW w:type="dxa" w:w="160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color w:val="1A1A1A"/>
                <w:sz w:val="20"/>
                <w:szCs w:val="20"/>
                <w:rFonts w:ascii="Arial" w:cs="Arial" w:eastAsia="Arial" w:hAnsi="Arial"/>
              </w:rPr>
              <w:t xml:space="preserve">3</w:t>
            </w:r>
          </w:p>
        </w:tc>
        <w:tc>
          <w:tcPr>
            <w:tcW w:type="dxa" w:w="160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color w:val="1A1A1A"/>
                <w:sz w:val="20"/>
                <w:szCs w:val="20"/>
                <w:rFonts w:ascii="Arial" w:cs="Arial" w:eastAsia="Arial" w:hAnsi="Arial"/>
              </w:rPr>
              <w:t xml:space="preserve">16</w:t>
            </w:r>
          </w:p>
        </w:tc>
      </w:tr>
      <w:tr>
        <w:tc>
          <w:tcPr>
            <w:tcW w:type="dxa" w:w="1606"/>
            <w:tcBorders>
              <w:top w:val="single" w:color="CCCCCC" w:sz="1"/>
              <w:left w:val="single" w:color="CCCCCC" w:sz="1"/>
              <w:bottom w:val="single" w:color="CCCCCC" w:sz="1"/>
              <w:right w:val="single" w:color="CCCCCC" w:sz="1"/>
            </w:tcBorders>
            <w:shd w:fill="F7F8FA" w:val="clear"/>
            <w:tcMar>
              <w:top w:type="dxa" w:w="60"/>
              <w:left w:type="dxa" w:w="120"/>
              <w:bottom w:type="dxa" w:w="60"/>
              <w:right w:type="dxa" w:w="120"/>
            </w:tcMar>
          </w:tcPr>
          <w:p>
            <w:r>
              <w:rPr>
                <w:b w:val="false"/>
                <w:bCs w:val="false"/>
                <w:color w:val="1A1A1A"/>
                <w:sz w:val="20"/>
                <w:szCs w:val="20"/>
                <w:rFonts w:ascii="Arial" w:cs="Arial" w:eastAsia="Arial" w:hAnsi="Arial"/>
              </w:rPr>
              <w:t xml:space="preserve">Krispy Kreme</w:t>
            </w:r>
          </w:p>
        </w:tc>
        <w:tc>
          <w:tcPr>
            <w:tcW w:type="dxa" w:w="1606"/>
            <w:tcBorders>
              <w:top w:val="single" w:color="CCCCCC" w:sz="1"/>
              <w:left w:val="single" w:color="CCCCCC" w:sz="1"/>
              <w:bottom w:val="single" w:color="CCCCCC" w:sz="1"/>
              <w:right w:val="single" w:color="CCCCCC" w:sz="1"/>
            </w:tcBorders>
            <w:shd w:fill="F7F8FA" w:val="clear"/>
            <w:tcMar>
              <w:top w:type="dxa" w:w="60"/>
              <w:left w:type="dxa" w:w="120"/>
              <w:bottom w:type="dxa" w:w="60"/>
              <w:right w:type="dxa" w:w="120"/>
            </w:tcMar>
          </w:tcPr>
          <w:p>
            <w:r>
              <w:rPr>
                <w:b w:val="false"/>
                <w:bCs w:val="false"/>
                <w:color w:val="1A1A1A"/>
                <w:sz w:val="20"/>
                <w:szCs w:val="20"/>
                <w:rFonts w:ascii="Arial" w:cs="Arial" w:eastAsia="Arial" w:hAnsi="Arial"/>
              </w:rPr>
              <w:t xml:space="preserve">2</w:t>
            </w:r>
          </w:p>
        </w:tc>
        <w:tc>
          <w:tcPr>
            <w:tcW w:type="dxa" w:w="1606"/>
            <w:tcBorders>
              <w:top w:val="single" w:color="CCCCCC" w:sz="1"/>
              <w:left w:val="single" w:color="CCCCCC" w:sz="1"/>
              <w:bottom w:val="single" w:color="CCCCCC" w:sz="1"/>
              <w:right w:val="single" w:color="CCCCCC" w:sz="1"/>
            </w:tcBorders>
            <w:shd w:fill="F7F8FA" w:val="clear"/>
            <w:tcMar>
              <w:top w:type="dxa" w:w="60"/>
              <w:left w:type="dxa" w:w="120"/>
              <w:bottom w:type="dxa" w:w="60"/>
              <w:right w:type="dxa" w:w="120"/>
            </w:tcMar>
          </w:tcPr>
          <w:p>
            <w:r>
              <w:rPr>
                <w:b w:val="false"/>
                <w:bCs w:val="false"/>
                <w:color w:val="1A1A1A"/>
                <w:sz w:val="20"/>
                <w:szCs w:val="20"/>
                <w:rFonts w:ascii="Arial" w:cs="Arial" w:eastAsia="Arial" w:hAnsi="Arial"/>
              </w:rPr>
              <w:t xml:space="preserve">3</w:t>
            </w:r>
          </w:p>
        </w:tc>
        <w:tc>
          <w:tcPr>
            <w:tcW w:type="dxa" w:w="1606"/>
            <w:tcBorders>
              <w:top w:val="single" w:color="CCCCCC" w:sz="1"/>
              <w:left w:val="single" w:color="CCCCCC" w:sz="1"/>
              <w:bottom w:val="single" w:color="CCCCCC" w:sz="1"/>
              <w:right w:val="single" w:color="CCCCCC" w:sz="1"/>
            </w:tcBorders>
            <w:shd w:fill="F7F8FA" w:val="clear"/>
            <w:tcMar>
              <w:top w:type="dxa" w:w="60"/>
              <w:left w:type="dxa" w:w="120"/>
              <w:bottom w:type="dxa" w:w="60"/>
              <w:right w:type="dxa" w:w="120"/>
            </w:tcMar>
          </w:tcPr>
          <w:p>
            <w:r>
              <w:rPr>
                <w:b w:val="false"/>
                <w:bCs w:val="false"/>
                <w:color w:val="1A1A1A"/>
                <w:sz w:val="20"/>
                <w:szCs w:val="20"/>
                <w:rFonts w:ascii="Arial" w:cs="Arial" w:eastAsia="Arial" w:hAnsi="Arial"/>
              </w:rPr>
              <w:t xml:space="preserve">2</w:t>
            </w:r>
          </w:p>
        </w:tc>
        <w:tc>
          <w:tcPr>
            <w:tcW w:type="dxa" w:w="1606"/>
            <w:tcBorders>
              <w:top w:val="single" w:color="CCCCCC" w:sz="1"/>
              <w:left w:val="single" w:color="CCCCCC" w:sz="1"/>
              <w:bottom w:val="single" w:color="CCCCCC" w:sz="1"/>
              <w:right w:val="single" w:color="CCCCCC" w:sz="1"/>
            </w:tcBorders>
            <w:shd w:fill="F7F8FA" w:val="clear"/>
            <w:tcMar>
              <w:top w:type="dxa" w:w="60"/>
              <w:left w:type="dxa" w:w="120"/>
              <w:bottom w:type="dxa" w:w="60"/>
              <w:right w:type="dxa" w:w="120"/>
            </w:tcMar>
          </w:tcPr>
          <w:p>
            <w:r>
              <w:rPr>
                <w:b w:val="false"/>
                <w:bCs w:val="false"/>
                <w:color w:val="1A1A1A"/>
                <w:sz w:val="20"/>
                <w:szCs w:val="20"/>
                <w:rFonts w:ascii="Arial" w:cs="Arial" w:eastAsia="Arial" w:hAnsi="Arial"/>
              </w:rPr>
              <w:t xml:space="preserve">2</w:t>
            </w:r>
          </w:p>
        </w:tc>
        <w:tc>
          <w:tcPr>
            <w:tcW w:type="dxa" w:w="1606"/>
            <w:tcBorders>
              <w:top w:val="single" w:color="CCCCCC" w:sz="1"/>
              <w:left w:val="single" w:color="CCCCCC" w:sz="1"/>
              <w:bottom w:val="single" w:color="CCCCCC" w:sz="1"/>
              <w:right w:val="single" w:color="CCCCCC" w:sz="1"/>
            </w:tcBorders>
            <w:shd w:fill="F7F8FA" w:val="clear"/>
            <w:tcMar>
              <w:top w:type="dxa" w:w="60"/>
              <w:left w:type="dxa" w:w="120"/>
              <w:bottom w:type="dxa" w:w="60"/>
              <w:right w:type="dxa" w:w="120"/>
            </w:tcMar>
          </w:tcPr>
          <w:p>
            <w:r>
              <w:rPr>
                <w:b w:val="false"/>
                <w:bCs w:val="false"/>
                <w:color w:val="1A1A1A"/>
                <w:sz w:val="20"/>
                <w:szCs w:val="20"/>
                <w:rFonts w:ascii="Arial" w:cs="Arial" w:eastAsia="Arial" w:hAnsi="Arial"/>
              </w:rPr>
              <w:t xml:space="preserve">9</w:t>
            </w:r>
          </w:p>
        </w:tc>
      </w:tr>
      <w:tr>
        <w:tc>
          <w:tcPr>
            <w:tcW w:type="dxa" w:w="160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color w:val="1A1A1A"/>
                <w:sz w:val="20"/>
                <w:szCs w:val="20"/>
                <w:rFonts w:ascii="Arial" w:cs="Arial" w:eastAsia="Arial" w:hAnsi="Arial"/>
              </w:rPr>
              <w:t xml:space="preserve">Costa Coffee</w:t>
            </w:r>
          </w:p>
        </w:tc>
        <w:tc>
          <w:tcPr>
            <w:tcW w:type="dxa" w:w="160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color w:val="1A1A1A"/>
                <w:sz w:val="20"/>
                <w:szCs w:val="20"/>
                <w:rFonts w:ascii="Arial" w:cs="Arial" w:eastAsia="Arial" w:hAnsi="Arial"/>
              </w:rPr>
              <w:t xml:space="preserve">1</w:t>
            </w:r>
          </w:p>
        </w:tc>
        <w:tc>
          <w:tcPr>
            <w:tcW w:type="dxa" w:w="160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color w:val="1A1A1A"/>
                <w:sz w:val="20"/>
                <w:szCs w:val="20"/>
                <w:rFonts w:ascii="Arial" w:cs="Arial" w:eastAsia="Arial" w:hAnsi="Arial"/>
              </w:rPr>
              <w:t xml:space="preserve">2</w:t>
            </w:r>
          </w:p>
        </w:tc>
        <w:tc>
          <w:tcPr>
            <w:tcW w:type="dxa" w:w="160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color w:val="1A1A1A"/>
                <w:sz w:val="20"/>
                <w:szCs w:val="20"/>
                <w:rFonts w:ascii="Arial" w:cs="Arial" w:eastAsia="Arial" w:hAnsi="Arial"/>
              </w:rPr>
              <w:t xml:space="preserve">2</w:t>
            </w:r>
          </w:p>
        </w:tc>
        <w:tc>
          <w:tcPr>
            <w:tcW w:type="dxa" w:w="160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color w:val="1A1A1A"/>
                <w:sz w:val="20"/>
                <w:szCs w:val="20"/>
                <w:rFonts w:ascii="Arial" w:cs="Arial" w:eastAsia="Arial" w:hAnsi="Arial"/>
              </w:rPr>
              <w:t xml:space="preserve">1</w:t>
            </w:r>
          </w:p>
        </w:tc>
        <w:tc>
          <w:tcPr>
            <w:tcW w:type="dxa" w:w="160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color w:val="1A1A1A"/>
                <w:sz w:val="20"/>
                <w:szCs w:val="20"/>
                <w:rFonts w:ascii="Arial" w:cs="Arial" w:eastAsia="Arial" w:hAnsi="Arial"/>
              </w:rPr>
              <w:t xml:space="preserve">6</w:t>
            </w:r>
          </w:p>
        </w:tc>
      </w:tr>
      <w:tr>
        <w:tc>
          <w:tcPr>
            <w:tcW w:type="dxa" w:w="1606"/>
            <w:tcBorders>
              <w:top w:val="single" w:color="CCCCCC" w:sz="1"/>
              <w:left w:val="single" w:color="CCCCCC" w:sz="1"/>
              <w:bottom w:val="single" w:color="CCCCCC" w:sz="1"/>
              <w:right w:val="single" w:color="CCCCCC" w:sz="1"/>
            </w:tcBorders>
            <w:shd w:fill="F7F8FA" w:val="clear"/>
            <w:tcMar>
              <w:top w:type="dxa" w:w="60"/>
              <w:left w:type="dxa" w:w="120"/>
              <w:bottom w:type="dxa" w:w="60"/>
              <w:right w:type="dxa" w:w="120"/>
            </w:tcMar>
          </w:tcPr>
          <w:p>
            <w:r>
              <w:rPr>
                <w:b w:val="false"/>
                <w:bCs w:val="false"/>
                <w:color w:val="1A1A1A"/>
                <w:sz w:val="20"/>
                <w:szCs w:val="20"/>
                <w:rFonts w:ascii="Arial" w:cs="Arial" w:eastAsia="Arial" w:hAnsi="Arial"/>
              </w:rPr>
              <w:t xml:space="preserve">Others</w:t>
            </w:r>
          </w:p>
        </w:tc>
        <w:tc>
          <w:tcPr>
            <w:tcW w:type="dxa" w:w="1606"/>
            <w:tcBorders>
              <w:top w:val="single" w:color="CCCCCC" w:sz="1"/>
              <w:left w:val="single" w:color="CCCCCC" w:sz="1"/>
              <w:bottom w:val="single" w:color="CCCCCC" w:sz="1"/>
              <w:right w:val="single" w:color="CCCCCC" w:sz="1"/>
            </w:tcBorders>
            <w:shd w:fill="F7F8FA" w:val="clear"/>
            <w:tcMar>
              <w:top w:type="dxa" w:w="60"/>
              <w:left w:type="dxa" w:w="120"/>
              <w:bottom w:type="dxa" w:w="60"/>
              <w:right w:type="dxa" w:w="120"/>
            </w:tcMar>
          </w:tcPr>
          <w:p>
            <w:r>
              <w:rPr>
                <w:b w:val="false"/>
                <w:bCs w:val="false"/>
                <w:color w:val="1A1A1A"/>
                <w:sz w:val="20"/>
                <w:szCs w:val="20"/>
                <w:rFonts w:ascii="Arial" w:cs="Arial" w:eastAsia="Arial" w:hAnsi="Arial"/>
              </w:rPr>
              <w:t xml:space="preserve">1</w:t>
            </w:r>
          </w:p>
        </w:tc>
        <w:tc>
          <w:tcPr>
            <w:tcW w:type="dxa" w:w="1606"/>
            <w:tcBorders>
              <w:top w:val="single" w:color="CCCCCC" w:sz="1"/>
              <w:left w:val="single" w:color="CCCCCC" w:sz="1"/>
              <w:bottom w:val="single" w:color="CCCCCC" w:sz="1"/>
              <w:right w:val="single" w:color="CCCCCC" w:sz="1"/>
            </w:tcBorders>
            <w:shd w:fill="F7F8FA" w:val="clear"/>
            <w:tcMar>
              <w:top w:type="dxa" w:w="60"/>
              <w:left w:type="dxa" w:w="120"/>
              <w:bottom w:type="dxa" w:w="60"/>
              <w:right w:type="dxa" w:w="120"/>
            </w:tcMar>
          </w:tcPr>
          <w:p>
            <w:r>
              <w:rPr>
                <w:b w:val="false"/>
                <w:bCs w:val="false"/>
                <w:color w:val="1A1A1A"/>
                <w:sz w:val="20"/>
                <w:szCs w:val="20"/>
                <w:rFonts w:ascii="Arial" w:cs="Arial" w:eastAsia="Arial" w:hAnsi="Arial"/>
              </w:rPr>
              <w:t xml:space="preserve">1</w:t>
            </w:r>
          </w:p>
        </w:tc>
        <w:tc>
          <w:tcPr>
            <w:tcW w:type="dxa" w:w="1606"/>
            <w:tcBorders>
              <w:top w:val="single" w:color="CCCCCC" w:sz="1"/>
              <w:left w:val="single" w:color="CCCCCC" w:sz="1"/>
              <w:bottom w:val="single" w:color="CCCCCC" w:sz="1"/>
              <w:right w:val="single" w:color="CCCCCC" w:sz="1"/>
            </w:tcBorders>
            <w:shd w:fill="F7F8FA" w:val="clear"/>
            <w:tcMar>
              <w:top w:type="dxa" w:w="60"/>
              <w:left w:type="dxa" w:w="120"/>
              <w:bottom w:type="dxa" w:w="60"/>
              <w:right w:type="dxa" w:w="120"/>
            </w:tcMar>
          </w:tcPr>
          <w:p>
            <w:r>
              <w:rPr>
                <w:b w:val="false"/>
                <w:bCs w:val="false"/>
                <w:color w:val="1A1A1A"/>
                <w:sz w:val="20"/>
                <w:szCs w:val="20"/>
                <w:rFonts w:ascii="Arial" w:cs="Arial" w:eastAsia="Arial" w:hAnsi="Arial"/>
              </w:rPr>
              <w:t xml:space="preserve">2</w:t>
            </w:r>
          </w:p>
        </w:tc>
        <w:tc>
          <w:tcPr>
            <w:tcW w:type="dxa" w:w="1606"/>
            <w:tcBorders>
              <w:top w:val="single" w:color="CCCCCC" w:sz="1"/>
              <w:left w:val="single" w:color="CCCCCC" w:sz="1"/>
              <w:bottom w:val="single" w:color="CCCCCC" w:sz="1"/>
              <w:right w:val="single" w:color="CCCCCC" w:sz="1"/>
            </w:tcBorders>
            <w:shd w:fill="F7F8FA" w:val="clear"/>
            <w:tcMar>
              <w:top w:type="dxa" w:w="60"/>
              <w:left w:type="dxa" w:w="120"/>
              <w:bottom w:type="dxa" w:w="60"/>
              <w:right w:type="dxa" w:w="120"/>
            </w:tcMar>
          </w:tcPr>
          <w:p>
            <w:r>
              <w:rPr>
                <w:b w:val="false"/>
                <w:bCs w:val="false"/>
                <w:color w:val="1A1A1A"/>
                <w:sz w:val="20"/>
                <w:szCs w:val="20"/>
                <w:rFonts w:ascii="Arial" w:cs="Arial" w:eastAsia="Arial" w:hAnsi="Arial"/>
              </w:rPr>
              <w:t xml:space="preserve">2</w:t>
            </w:r>
          </w:p>
        </w:tc>
        <w:tc>
          <w:tcPr>
            <w:tcW w:type="dxa" w:w="1606"/>
            <w:tcBorders>
              <w:top w:val="single" w:color="CCCCCC" w:sz="1"/>
              <w:left w:val="single" w:color="CCCCCC" w:sz="1"/>
              <w:bottom w:val="single" w:color="CCCCCC" w:sz="1"/>
              <w:right w:val="single" w:color="CCCCCC" w:sz="1"/>
            </w:tcBorders>
            <w:shd w:fill="F7F8FA" w:val="clear"/>
            <w:tcMar>
              <w:top w:type="dxa" w:w="60"/>
              <w:left w:type="dxa" w:w="120"/>
              <w:bottom w:type="dxa" w:w="60"/>
              <w:right w:type="dxa" w:w="120"/>
            </w:tcMar>
          </w:tcPr>
          <w:p>
            <w:r>
              <w:rPr>
                <w:b w:val="false"/>
                <w:bCs w:val="false"/>
                <w:color w:val="1A1A1A"/>
                <w:sz w:val="20"/>
                <w:szCs w:val="20"/>
                <w:rFonts w:ascii="Arial" w:cs="Arial" w:eastAsia="Arial" w:hAnsi="Arial"/>
              </w:rPr>
              <w:t xml:space="preserve">6</w:t>
            </w:r>
          </w:p>
        </w:tc>
      </w:tr>
      <w:tr>
        <w:tc>
          <w:tcPr>
            <w:tcW w:type="dxa" w:w="1606"/>
            <w:tcBorders>
              <w:top w:val="single" w:color="CCCCCC" w:sz="1"/>
              <w:left w:val="single" w:color="CCCCCC" w:sz="1"/>
              <w:bottom w:val="single" w:color="CCCCCC" w:sz="1"/>
              <w:right w:val="single" w:color="CCCCCC" w:sz="1"/>
            </w:tcBorders>
            <w:shd w:fill="E8EDF5" w:val="clear"/>
            <w:tcMar>
              <w:top w:type="dxa" w:w="60"/>
              <w:left w:type="dxa" w:w="120"/>
              <w:bottom w:type="dxa" w:w="60"/>
              <w:right w:type="dxa" w:w="120"/>
            </w:tcMar>
          </w:tcPr>
          <w:p>
            <w:r>
              <w:rPr>
                <w:b/>
                <w:bCs/>
                <w:color w:val="1B3A6B"/>
                <w:sz w:val="20"/>
                <w:szCs w:val="20"/>
                <w:rFonts w:ascii="Arial" w:cs="Arial" w:eastAsia="Arial" w:hAnsi="Arial"/>
              </w:rPr>
              <w:t xml:space="preserve">Total</w:t>
            </w:r>
          </w:p>
        </w:tc>
        <w:tc>
          <w:tcPr>
            <w:tcW w:type="dxa" w:w="1606"/>
            <w:tcBorders>
              <w:top w:val="single" w:color="CCCCCC" w:sz="1"/>
              <w:left w:val="single" w:color="CCCCCC" w:sz="1"/>
              <w:bottom w:val="single" w:color="CCCCCC" w:sz="1"/>
              <w:right w:val="single" w:color="CCCCCC" w:sz="1"/>
            </w:tcBorders>
            <w:shd w:fill="E8EDF5" w:val="clear"/>
            <w:tcMar>
              <w:top w:type="dxa" w:w="60"/>
              <w:left w:type="dxa" w:w="120"/>
              <w:bottom w:type="dxa" w:w="60"/>
              <w:right w:type="dxa" w:w="120"/>
            </w:tcMar>
          </w:tcPr>
          <w:p>
            <w:r>
              <w:rPr>
                <w:b/>
                <w:bCs/>
                <w:color w:val="1B3A6B"/>
                <w:sz w:val="20"/>
                <w:szCs w:val="20"/>
                <w:rFonts w:ascii="Arial" w:cs="Arial" w:eastAsia="Arial" w:hAnsi="Arial"/>
              </w:rPr>
              <w:t xml:space="preserve">26</w:t>
            </w:r>
          </w:p>
        </w:tc>
        <w:tc>
          <w:tcPr>
            <w:tcW w:type="dxa" w:w="1606"/>
            <w:tcBorders>
              <w:top w:val="single" w:color="CCCCCC" w:sz="1"/>
              <w:left w:val="single" w:color="CCCCCC" w:sz="1"/>
              <w:bottom w:val="single" w:color="CCCCCC" w:sz="1"/>
              <w:right w:val="single" w:color="CCCCCC" w:sz="1"/>
            </w:tcBorders>
            <w:shd w:fill="E8EDF5" w:val="clear"/>
            <w:tcMar>
              <w:top w:type="dxa" w:w="60"/>
              <w:left w:type="dxa" w:w="120"/>
              <w:bottom w:type="dxa" w:w="60"/>
              <w:right w:type="dxa" w:w="120"/>
            </w:tcMar>
          </w:tcPr>
          <w:p>
            <w:r>
              <w:rPr>
                <w:b/>
                <w:bCs/>
                <w:color w:val="1B3A6B"/>
                <w:sz w:val="20"/>
                <w:szCs w:val="20"/>
                <w:rFonts w:ascii="Arial" w:cs="Arial" w:eastAsia="Arial" w:hAnsi="Arial"/>
              </w:rPr>
              <w:t xml:space="preserve">38</w:t>
            </w:r>
          </w:p>
        </w:tc>
        <w:tc>
          <w:tcPr>
            <w:tcW w:type="dxa" w:w="1606"/>
            <w:tcBorders>
              <w:top w:val="single" w:color="CCCCCC" w:sz="1"/>
              <w:left w:val="single" w:color="CCCCCC" w:sz="1"/>
              <w:bottom w:val="single" w:color="CCCCCC" w:sz="1"/>
              <w:right w:val="single" w:color="CCCCCC" w:sz="1"/>
            </w:tcBorders>
            <w:shd w:fill="E8EDF5" w:val="clear"/>
            <w:tcMar>
              <w:top w:type="dxa" w:w="60"/>
              <w:left w:type="dxa" w:w="120"/>
              <w:bottom w:type="dxa" w:w="60"/>
              <w:right w:type="dxa" w:w="120"/>
            </w:tcMar>
          </w:tcPr>
          <w:p>
            <w:r>
              <w:rPr>
                <w:b/>
                <w:bCs/>
                <w:color w:val="1B3A6B"/>
                <w:sz w:val="20"/>
                <w:szCs w:val="20"/>
                <w:rFonts w:ascii="Arial" w:cs="Arial" w:eastAsia="Arial" w:hAnsi="Arial"/>
              </w:rPr>
              <w:t xml:space="preserve">32</w:t>
            </w:r>
          </w:p>
        </w:tc>
        <w:tc>
          <w:tcPr>
            <w:tcW w:type="dxa" w:w="1606"/>
            <w:tcBorders>
              <w:top w:val="single" w:color="CCCCCC" w:sz="1"/>
              <w:left w:val="single" w:color="CCCCCC" w:sz="1"/>
              <w:bottom w:val="single" w:color="CCCCCC" w:sz="1"/>
              <w:right w:val="single" w:color="CCCCCC" w:sz="1"/>
            </w:tcBorders>
            <w:shd w:fill="E8EDF5" w:val="clear"/>
            <w:tcMar>
              <w:top w:type="dxa" w:w="60"/>
              <w:left w:type="dxa" w:w="120"/>
              <w:bottom w:type="dxa" w:w="60"/>
              <w:right w:type="dxa" w:w="120"/>
            </w:tcMar>
          </w:tcPr>
          <w:p>
            <w:r>
              <w:rPr>
                <w:b/>
                <w:bCs/>
                <w:color w:val="1B3A6B"/>
                <w:sz w:val="20"/>
                <w:szCs w:val="20"/>
                <w:rFonts w:ascii="Arial" w:cs="Arial" w:eastAsia="Arial" w:hAnsi="Arial"/>
              </w:rPr>
              <w:t xml:space="preserve">25</w:t>
            </w:r>
          </w:p>
        </w:tc>
        <w:tc>
          <w:tcPr>
            <w:tcW w:type="dxa" w:w="1606"/>
            <w:tcBorders>
              <w:top w:val="single" w:color="CCCCCC" w:sz="1"/>
              <w:left w:val="single" w:color="CCCCCC" w:sz="1"/>
              <w:bottom w:val="single" w:color="CCCCCC" w:sz="1"/>
              <w:right w:val="single" w:color="CCCCCC" w:sz="1"/>
            </w:tcBorders>
            <w:shd w:fill="E8EDF5" w:val="clear"/>
            <w:tcMar>
              <w:top w:type="dxa" w:w="60"/>
              <w:left w:type="dxa" w:w="120"/>
              <w:bottom w:type="dxa" w:w="60"/>
              <w:right w:type="dxa" w:w="120"/>
            </w:tcMar>
          </w:tcPr>
          <w:p>
            <w:r>
              <w:rPr>
                <w:b/>
                <w:bCs/>
                <w:color w:val="1B3A6B"/>
                <w:sz w:val="20"/>
                <w:szCs w:val="20"/>
                <w:rFonts w:ascii="Arial" w:cs="Arial" w:eastAsia="Arial" w:hAnsi="Arial"/>
              </w:rPr>
              <w:t xml:space="preserve">121</w:t>
            </w:r>
          </w:p>
        </w:tc>
      </w:tr>
    </w:tbl>
    <w:p>
      <w:pPr>
        <w:spacing w:before="0" w:after="200"/>
      </w:pPr>
    </w:p>
    <w:p>
      <w:pPr>
        <w:pStyle w:val="Heading1"/>
        <w:pageBreakBefore/>
        <w:pBdr>
          <w:top w:val="nil" w:color="FFFFFF" w:sz="0"/>
          <w:bottom w:val="single" w:color="1B3A6B" w:sz="16" w:space="4"/>
          <w:left w:val="nil" w:color="FFFFFF" w:sz="0"/>
          <w:right w:val="nil" w:color="FFFFFF" w:sz="0"/>
        </w:pBdr>
        <w:spacing w:before="0" w:after="200"/>
      </w:pPr>
      <w:r>
        <w:rPr>
          <w:b/>
          <w:bCs/>
          <w:color w:val="1B3A6B"/>
          <w:sz w:val="40"/>
          <w:szCs w:val="40"/>
          <w:rFonts w:ascii="Arial" w:cs="Arial" w:eastAsia="Arial" w:hAnsi="Arial"/>
        </w:rPr>
        <w:t xml:space="preserve">Corporate Governance &amp; Outlook</w:t>
      </w:r>
    </w:p>
    <w:p>
      <w:pPr>
        <w:pStyle w:val="Heading2"/>
        <w:spacing w:before="240" w:after="120"/>
      </w:pPr>
      <w:r>
        <w:rPr>
          <w:b/>
          <w:bCs/>
          <w:color w:val="1B3A6B"/>
          <w:sz w:val="32"/>
          <w:szCs w:val="32"/>
          <w:rFonts w:ascii="Arial" w:cs="Arial" w:eastAsia="Arial" w:hAnsi="Arial"/>
        </w:rPr>
        <w:t xml:space="preserve">Corporate Governance</w:t>
      </w:r>
    </w:p>
    <w:p>
      <w:pPr>
        <w:spacing w:before="0" w:after="160"/>
      </w:pPr>
      <w:r>
        <w:rPr>
          <w:sz w:val="22"/>
          <w:szCs w:val="22"/>
          <w:rFonts w:ascii="Arial" w:cs="Arial" w:eastAsia="Arial" w:hAnsi="Arial"/>
        </w:rPr>
        <w:t xml:space="preserve">Americana Restaurants maintains the highest standards of corporate governance across all markets of operation. The Board of Directors comprises 9 members, including 4 independent directors, and meets quarterly to review strategic direction, risk management, and financial performance.</w:t>
      </w:r>
    </w:p>
    <w:p>
      <w:pPr>
        <w:spacing w:before="0" w:after="160"/>
      </w:pPr>
      <w:r>
        <w:rPr>
          <w:sz w:val="22"/>
          <w:szCs w:val="22"/>
          <w:rFonts w:ascii="Arial" w:cs="Arial" w:eastAsia="Arial" w:hAnsi="Arial"/>
        </w:rPr>
        <w:t xml:space="preserve">In 2024, the company established a dedicated Technology &amp; Innovation Committee to oversee the ongoing digital transformation program, ensuring AI adoption aligns with ethical guidelines and regulatory requirements across all jurisdictions.</w:t>
      </w:r>
    </w:p>
    <w:p>
      <w:pPr>
        <w:pStyle w:val="Heading2"/>
        <w:spacing w:before="240" w:after="120"/>
      </w:pPr>
      <w:r>
        <w:rPr>
          <w:b/>
          <w:bCs/>
          <w:color w:val="1B3A6B"/>
          <w:sz w:val="32"/>
          <w:szCs w:val="32"/>
          <w:rFonts w:ascii="Arial" w:cs="Arial" w:eastAsia="Arial" w:hAnsi="Arial"/>
        </w:rPr>
        <w:t xml:space="preserve">2025 Strategic Outlook</w:t>
      </w:r>
    </w:p>
    <w:p>
      <w:pPr>
        <w:spacing w:before="0" w:after="160"/>
      </w:pPr>
      <w:r>
        <w:rPr>
          <w:sz w:val="22"/>
          <w:szCs w:val="22"/>
          <w:rFonts w:ascii="Arial" w:cs="Arial" w:eastAsia="Arial" w:hAnsi="Arial"/>
        </w:rPr>
        <w:t xml:space="preserve">Building on the strong momentum of 2024, Americana Restaurants targets revenue of $3.2B in 2025, representing growth of approximately 14%. Key strategic priorities include continued expansion into underserved markets, deepening the AI transformation across all back-office functions, and launching loyalty programs powered by predictive analytics.</w:t>
      </w:r>
    </w:p>
    <w:p>
      <w:pPr>
        <w:spacing w:before="0" w:after="160"/>
      </w:pPr>
      <w:r>
        <w:rPr>
          <w:sz w:val="22"/>
          <w:szCs w:val="22"/>
          <w:rFonts w:ascii="Arial" w:cs="Arial" w:eastAsia="Arial" w:hAnsi="Arial"/>
        </w:rPr>
        <w:t xml:space="preserve">The company plans to open an additional 130 restaurants in 2025, with particular focus on Egypt, Saudi Arabia, and Iraq, where urbanization trends are creating significant demand for quality quick-service dining.</w:t>
      </w:r>
    </w:p>
    <w:p>
      <w:pPr>
        <w:pBdr>
          <w:top w:val="nil" w:color="FFFFFF" w:sz="0"/>
          <w:bottom w:val="nil" w:color="FFFFFF" w:sz="0"/>
          <w:left w:val="single" w:color="1B3A6B" w:sz="20" w:space="12"/>
          <w:right w:val="nil" w:color="FFFFFF" w:sz="0"/>
        </w:pBdr>
        <w:spacing w:before="200" w:after="200"/>
        <w:ind w:left="720" w:right="720"/>
      </w:pPr>
      <w:r>
        <w:rPr>
          <w:i/>
          <w:iCs/>
          <w:color w:val="444444"/>
          <w:sz w:val="26"/>
          <w:szCs w:val="26"/>
          <w:rFonts w:ascii="Georgia" w:cs="Georgia" w:eastAsia="Georgia" w:hAnsi="Georgia"/>
        </w:rPr>
        <w:t xml:space="preserve">"Our technology transformation is not just about efficiency — it is about creating the foundation for the next decade of growth."</w:t>
      </w:r>
    </w:p>
    <w:p>
      <w:pPr>
        <w:pStyle w:val="Heading2"/>
        <w:spacing w:before="240" w:after="160"/>
      </w:pPr>
      <w:r>
        <w:rPr>
          <w:b/>
          <w:bCs/>
          <w:color w:val="1B3A6B"/>
          <w:sz w:val="32"/>
          <w:szCs w:val="32"/>
          <w:rFonts w:ascii="Arial" w:cs="Arial" w:eastAsia="Arial" w:hAnsi="Arial"/>
        </w:rPr>
        <w:t xml:space="preserve">2025 Financial Guidance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09"/>
      </w:tblGrid>
      <w:tr>
        <w:trPr>
          <w:tblHeader/>
        </w:trPr>
        <w:tc>
          <w:tcPr>
            <w:tcW w:type="dxa" w:w="2409"/>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b/>
                <w:bCs/>
                <w:color w:val="FFFFFF"/>
                <w:sz w:val="20"/>
                <w:szCs w:val="20"/>
                <w:rFonts w:ascii="Arial" w:cs="Arial" w:eastAsia="Arial" w:hAnsi="Arial"/>
              </w:rPr>
              <w:t xml:space="preserve">Metric</w:t>
            </w:r>
          </w:p>
        </w:tc>
        <w:tc>
          <w:tcPr>
            <w:tcW w:type="dxa" w:w="2409"/>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b/>
                <w:bCs/>
                <w:color w:val="FFFFFF"/>
                <w:sz w:val="20"/>
                <w:szCs w:val="20"/>
                <w:rFonts w:ascii="Arial" w:cs="Arial" w:eastAsia="Arial" w:hAnsi="Arial"/>
              </w:rPr>
              <w:t xml:space="preserve">FY 2024 Actual</w:t>
            </w:r>
          </w:p>
        </w:tc>
        <w:tc>
          <w:tcPr>
            <w:tcW w:type="dxa" w:w="2409"/>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b/>
                <w:bCs/>
                <w:color w:val="FFFFFF"/>
                <w:sz w:val="20"/>
                <w:szCs w:val="20"/>
                <w:rFonts w:ascii="Arial" w:cs="Arial" w:eastAsia="Arial" w:hAnsi="Arial"/>
              </w:rPr>
              <w:t xml:space="preserve">FY 2025 Guidance</w:t>
            </w:r>
          </w:p>
        </w:tc>
        <w:tc>
          <w:tcPr>
            <w:tcW w:type="dxa" w:w="2409"/>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b/>
                <w:bCs/>
                <w:color w:val="FFFFFF"/>
                <w:sz w:val="20"/>
                <w:szCs w:val="20"/>
                <w:rFonts w:ascii="Arial" w:cs="Arial" w:eastAsia="Arial" w:hAnsi="Arial"/>
              </w:rPr>
              <w:t xml:space="preserve">Target Growth</w:t>
            </w:r>
          </w:p>
        </w:tc>
      </w:tr>
      <w:tr>
        <w:tc>
          <w:tcPr>
            <w:tcW w:type="dxa" w:w="2409"/>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color w:val="1A1A1A"/>
                <w:sz w:val="20"/>
                <w:szCs w:val="20"/>
                <w:rFonts w:ascii="Arial" w:cs="Arial" w:eastAsia="Arial" w:hAnsi="Arial"/>
              </w:rPr>
              <w:t xml:space="preserve">Revenue ($M)</w:t>
            </w:r>
          </w:p>
        </w:tc>
        <w:tc>
          <w:tcPr>
            <w:tcW w:type="dxa" w:w="2409"/>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color w:val="1A1A1A"/>
                <w:sz w:val="20"/>
                <w:szCs w:val="20"/>
                <w:rFonts w:ascii="Arial" w:cs="Arial" w:eastAsia="Arial" w:hAnsi="Arial"/>
              </w:rPr>
              <w:t xml:space="preserve">2,800</w:t>
            </w:r>
          </w:p>
        </w:tc>
        <w:tc>
          <w:tcPr>
            <w:tcW w:type="dxa" w:w="2409"/>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color w:val="1A1A1A"/>
                <w:sz w:val="20"/>
                <w:szCs w:val="20"/>
                <w:rFonts w:ascii="Arial" w:cs="Arial" w:eastAsia="Arial" w:hAnsi="Arial"/>
              </w:rPr>
              <w:t xml:space="preserve">3,150 – 3,250</w:t>
            </w:r>
          </w:p>
        </w:tc>
        <w:tc>
          <w:tcPr>
            <w:tcW w:type="dxa" w:w="2409"/>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color w:val="1A1A1A"/>
                <w:sz w:val="20"/>
                <w:szCs w:val="20"/>
                <w:rFonts w:ascii="Arial" w:cs="Arial" w:eastAsia="Arial" w:hAnsi="Arial"/>
              </w:rPr>
              <w:t xml:space="preserve">+12% to +16%</w:t>
            </w:r>
          </w:p>
        </w:tc>
      </w:tr>
      <w:tr>
        <w:tc>
          <w:tcPr>
            <w:tcW w:type="dxa" w:w="2409"/>
            <w:tcBorders>
              <w:top w:val="single" w:color="CCCCCC" w:sz="1"/>
              <w:left w:val="single" w:color="CCCCCC" w:sz="1"/>
              <w:bottom w:val="single" w:color="CCCCCC" w:sz="1"/>
              <w:right w:val="single" w:color="CCCCCC" w:sz="1"/>
            </w:tcBorders>
            <w:shd w:fill="F7F8FA" w:val="clear"/>
            <w:tcMar>
              <w:top w:type="dxa" w:w="60"/>
              <w:left w:type="dxa" w:w="120"/>
              <w:bottom w:type="dxa" w:w="60"/>
              <w:right w:type="dxa" w:w="120"/>
            </w:tcMar>
          </w:tcPr>
          <w:p>
            <w:r>
              <w:rPr>
                <w:b w:val="false"/>
                <w:bCs w:val="false"/>
                <w:color w:val="1A1A1A"/>
                <w:sz w:val="20"/>
                <w:szCs w:val="20"/>
                <w:rFonts w:ascii="Arial" w:cs="Arial" w:eastAsia="Arial" w:hAnsi="Arial"/>
              </w:rPr>
              <w:t xml:space="preserve">EBITDA ($M)</w:t>
            </w:r>
          </w:p>
        </w:tc>
        <w:tc>
          <w:tcPr>
            <w:tcW w:type="dxa" w:w="2409"/>
            <w:tcBorders>
              <w:top w:val="single" w:color="CCCCCC" w:sz="1"/>
              <w:left w:val="single" w:color="CCCCCC" w:sz="1"/>
              <w:bottom w:val="single" w:color="CCCCCC" w:sz="1"/>
              <w:right w:val="single" w:color="CCCCCC" w:sz="1"/>
            </w:tcBorders>
            <w:shd w:fill="F7F8FA" w:val="clear"/>
            <w:tcMar>
              <w:top w:type="dxa" w:w="60"/>
              <w:left w:type="dxa" w:w="120"/>
              <w:bottom w:type="dxa" w:w="60"/>
              <w:right w:type="dxa" w:w="120"/>
            </w:tcMar>
          </w:tcPr>
          <w:p>
            <w:r>
              <w:rPr>
                <w:b w:val="false"/>
                <w:bCs w:val="false"/>
                <w:color w:val="1A1A1A"/>
                <w:sz w:val="20"/>
                <w:szCs w:val="20"/>
                <w:rFonts w:ascii="Arial" w:cs="Arial" w:eastAsia="Arial" w:hAnsi="Arial"/>
              </w:rPr>
              <w:t xml:space="preserve">612</w:t>
            </w:r>
          </w:p>
        </w:tc>
        <w:tc>
          <w:tcPr>
            <w:tcW w:type="dxa" w:w="2409"/>
            <w:tcBorders>
              <w:top w:val="single" w:color="CCCCCC" w:sz="1"/>
              <w:left w:val="single" w:color="CCCCCC" w:sz="1"/>
              <w:bottom w:val="single" w:color="CCCCCC" w:sz="1"/>
              <w:right w:val="single" w:color="CCCCCC" w:sz="1"/>
            </w:tcBorders>
            <w:shd w:fill="F7F8FA" w:val="clear"/>
            <w:tcMar>
              <w:top w:type="dxa" w:w="60"/>
              <w:left w:type="dxa" w:w="120"/>
              <w:bottom w:type="dxa" w:w="60"/>
              <w:right w:type="dxa" w:w="120"/>
            </w:tcMar>
          </w:tcPr>
          <w:p>
            <w:r>
              <w:rPr>
                <w:b w:val="false"/>
                <w:bCs w:val="false"/>
                <w:color w:val="1A1A1A"/>
                <w:sz w:val="20"/>
                <w:szCs w:val="20"/>
                <w:rFonts w:ascii="Arial" w:cs="Arial" w:eastAsia="Arial" w:hAnsi="Arial"/>
              </w:rPr>
              <w:t xml:space="preserve">700 – 740</w:t>
            </w:r>
          </w:p>
        </w:tc>
        <w:tc>
          <w:tcPr>
            <w:tcW w:type="dxa" w:w="2409"/>
            <w:tcBorders>
              <w:top w:val="single" w:color="CCCCCC" w:sz="1"/>
              <w:left w:val="single" w:color="CCCCCC" w:sz="1"/>
              <w:bottom w:val="single" w:color="CCCCCC" w:sz="1"/>
              <w:right w:val="single" w:color="CCCCCC" w:sz="1"/>
            </w:tcBorders>
            <w:shd w:fill="F7F8FA" w:val="clear"/>
            <w:tcMar>
              <w:top w:type="dxa" w:w="60"/>
              <w:left w:type="dxa" w:w="120"/>
              <w:bottom w:type="dxa" w:w="60"/>
              <w:right w:type="dxa" w:w="120"/>
            </w:tcMar>
          </w:tcPr>
          <w:p>
            <w:r>
              <w:rPr>
                <w:b w:val="false"/>
                <w:bCs w:val="false"/>
                <w:color w:val="1A1A1A"/>
                <w:sz w:val="20"/>
                <w:szCs w:val="20"/>
                <w:rFonts w:ascii="Arial" w:cs="Arial" w:eastAsia="Arial" w:hAnsi="Arial"/>
              </w:rPr>
              <w:t xml:space="preserve">+14% to +21%</w:t>
            </w:r>
          </w:p>
        </w:tc>
      </w:tr>
      <w:tr>
        <w:tc>
          <w:tcPr>
            <w:tcW w:type="dxa" w:w="2409"/>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color w:val="1A1A1A"/>
                <w:sz w:val="20"/>
                <w:szCs w:val="20"/>
                <w:rFonts w:ascii="Arial" w:cs="Arial" w:eastAsia="Arial" w:hAnsi="Arial"/>
              </w:rPr>
              <w:t xml:space="preserve">Net Income ($M)</w:t>
            </w:r>
          </w:p>
        </w:tc>
        <w:tc>
          <w:tcPr>
            <w:tcW w:type="dxa" w:w="2409"/>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color w:val="1A1A1A"/>
                <w:sz w:val="20"/>
                <w:szCs w:val="20"/>
                <w:rFonts w:ascii="Arial" w:cs="Arial" w:eastAsia="Arial" w:hAnsi="Arial"/>
              </w:rPr>
              <w:t xml:space="preserve">308</w:t>
            </w:r>
          </w:p>
        </w:tc>
        <w:tc>
          <w:tcPr>
            <w:tcW w:type="dxa" w:w="2409"/>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color w:val="1A1A1A"/>
                <w:sz w:val="20"/>
                <w:szCs w:val="20"/>
                <w:rFonts w:ascii="Arial" w:cs="Arial" w:eastAsia="Arial" w:hAnsi="Arial"/>
              </w:rPr>
              <w:t xml:space="preserve">360 – 390</w:t>
            </w:r>
          </w:p>
        </w:tc>
        <w:tc>
          <w:tcPr>
            <w:tcW w:type="dxa" w:w="2409"/>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color w:val="1A1A1A"/>
                <w:sz w:val="20"/>
                <w:szCs w:val="20"/>
                <w:rFonts w:ascii="Arial" w:cs="Arial" w:eastAsia="Arial" w:hAnsi="Arial"/>
              </w:rPr>
              <w:t xml:space="preserve">+17% to +27%</w:t>
            </w:r>
          </w:p>
        </w:tc>
      </w:tr>
      <w:tr>
        <w:tc>
          <w:tcPr>
            <w:tcW w:type="dxa" w:w="2409"/>
            <w:tcBorders>
              <w:top w:val="single" w:color="CCCCCC" w:sz="1"/>
              <w:left w:val="single" w:color="CCCCCC" w:sz="1"/>
              <w:bottom w:val="single" w:color="CCCCCC" w:sz="1"/>
              <w:right w:val="single" w:color="CCCCCC" w:sz="1"/>
            </w:tcBorders>
            <w:shd w:fill="F7F8FA" w:val="clear"/>
            <w:tcMar>
              <w:top w:type="dxa" w:w="60"/>
              <w:left w:type="dxa" w:w="120"/>
              <w:bottom w:type="dxa" w:w="60"/>
              <w:right w:type="dxa" w:w="120"/>
            </w:tcMar>
          </w:tcPr>
          <w:p>
            <w:r>
              <w:rPr>
                <w:b w:val="false"/>
                <w:bCs w:val="false"/>
                <w:color w:val="1A1A1A"/>
                <w:sz w:val="20"/>
                <w:szCs w:val="20"/>
                <w:rFonts w:ascii="Arial" w:cs="Arial" w:eastAsia="Arial" w:hAnsi="Arial"/>
              </w:rPr>
              <w:t xml:space="preserve">New Restaurants</w:t>
            </w:r>
          </w:p>
        </w:tc>
        <w:tc>
          <w:tcPr>
            <w:tcW w:type="dxa" w:w="2409"/>
            <w:tcBorders>
              <w:top w:val="single" w:color="CCCCCC" w:sz="1"/>
              <w:left w:val="single" w:color="CCCCCC" w:sz="1"/>
              <w:bottom w:val="single" w:color="CCCCCC" w:sz="1"/>
              <w:right w:val="single" w:color="CCCCCC" w:sz="1"/>
            </w:tcBorders>
            <w:shd w:fill="F7F8FA" w:val="clear"/>
            <w:tcMar>
              <w:top w:type="dxa" w:w="60"/>
              <w:left w:type="dxa" w:w="120"/>
              <w:bottom w:type="dxa" w:w="60"/>
              <w:right w:type="dxa" w:w="120"/>
            </w:tcMar>
          </w:tcPr>
          <w:p>
            <w:r>
              <w:rPr>
                <w:b w:val="false"/>
                <w:bCs w:val="false"/>
                <w:color w:val="1A1A1A"/>
                <w:sz w:val="20"/>
                <w:szCs w:val="20"/>
                <w:rFonts w:ascii="Arial" w:cs="Arial" w:eastAsia="Arial" w:hAnsi="Arial"/>
              </w:rPr>
              <w:t xml:space="preserve">121</w:t>
            </w:r>
          </w:p>
        </w:tc>
        <w:tc>
          <w:tcPr>
            <w:tcW w:type="dxa" w:w="2409"/>
            <w:tcBorders>
              <w:top w:val="single" w:color="CCCCCC" w:sz="1"/>
              <w:left w:val="single" w:color="CCCCCC" w:sz="1"/>
              <w:bottom w:val="single" w:color="CCCCCC" w:sz="1"/>
              <w:right w:val="single" w:color="CCCCCC" w:sz="1"/>
            </w:tcBorders>
            <w:shd w:fill="F7F8FA" w:val="clear"/>
            <w:tcMar>
              <w:top w:type="dxa" w:w="60"/>
              <w:left w:type="dxa" w:w="120"/>
              <w:bottom w:type="dxa" w:w="60"/>
              <w:right w:type="dxa" w:w="120"/>
            </w:tcMar>
          </w:tcPr>
          <w:p>
            <w:r>
              <w:rPr>
                <w:b w:val="false"/>
                <w:bCs w:val="false"/>
                <w:color w:val="1A1A1A"/>
                <w:sz w:val="20"/>
                <w:szCs w:val="20"/>
                <w:rFonts w:ascii="Arial" w:cs="Arial" w:eastAsia="Arial" w:hAnsi="Arial"/>
              </w:rPr>
              <w:t xml:space="preserve">125 – 135</w:t>
            </w:r>
          </w:p>
        </w:tc>
        <w:tc>
          <w:tcPr>
            <w:tcW w:type="dxa" w:w="2409"/>
            <w:tcBorders>
              <w:top w:val="single" w:color="CCCCCC" w:sz="1"/>
              <w:left w:val="single" w:color="CCCCCC" w:sz="1"/>
              <w:bottom w:val="single" w:color="CCCCCC" w:sz="1"/>
              <w:right w:val="single" w:color="CCCCCC" w:sz="1"/>
            </w:tcBorders>
            <w:shd w:fill="F7F8FA" w:val="clear"/>
            <w:tcMar>
              <w:top w:type="dxa" w:w="60"/>
              <w:left w:type="dxa" w:w="120"/>
              <w:bottom w:type="dxa" w:w="60"/>
              <w:right w:type="dxa" w:w="120"/>
            </w:tcMar>
          </w:tcPr>
          <w:p>
            <w:r>
              <w:rPr>
                <w:b w:val="false"/>
                <w:bCs w:val="false"/>
                <w:color w:val="1A1A1A"/>
                <w:sz w:val="20"/>
                <w:szCs w:val="20"/>
                <w:rFonts w:ascii="Arial" w:cs="Arial" w:eastAsia="Arial" w:hAnsi="Arial"/>
              </w:rPr>
              <w:t xml:space="preserve">—</w:t>
            </w:r>
          </w:p>
        </w:tc>
      </w:tr>
      <w:tr>
        <w:tc>
          <w:tcPr>
            <w:tcW w:type="dxa" w:w="2409"/>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color w:val="1A1A1A"/>
                <w:sz w:val="20"/>
                <w:szCs w:val="20"/>
                <w:rFonts w:ascii="Arial" w:cs="Arial" w:eastAsia="Arial" w:hAnsi="Arial"/>
              </w:rPr>
              <w:t xml:space="preserve">Countries</w:t>
            </w:r>
          </w:p>
        </w:tc>
        <w:tc>
          <w:tcPr>
            <w:tcW w:type="dxa" w:w="2409"/>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color w:val="1A1A1A"/>
                <w:sz w:val="20"/>
                <w:szCs w:val="20"/>
                <w:rFonts w:ascii="Arial" w:cs="Arial" w:eastAsia="Arial" w:hAnsi="Arial"/>
              </w:rPr>
              <w:t xml:space="preserve">12</w:t>
            </w:r>
          </w:p>
        </w:tc>
        <w:tc>
          <w:tcPr>
            <w:tcW w:type="dxa" w:w="2409"/>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color w:val="1A1A1A"/>
                <w:sz w:val="20"/>
                <w:szCs w:val="20"/>
                <w:rFonts w:ascii="Arial" w:cs="Arial" w:eastAsia="Arial" w:hAnsi="Arial"/>
              </w:rPr>
              <w:t xml:space="preserve">12 – 13</w:t>
            </w:r>
          </w:p>
        </w:tc>
        <w:tc>
          <w:tcPr>
            <w:tcW w:type="dxa" w:w="2409"/>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color w:val="1A1A1A"/>
                <w:sz w:val="20"/>
                <w:szCs w:val="20"/>
                <w:rFonts w:ascii="Arial" w:cs="Arial" w:eastAsia="Arial" w:hAnsi="Arial"/>
              </w:rPr>
              <w:t xml:space="preserve">—</w:t>
            </w:r>
          </w:p>
        </w:tc>
      </w:tr>
    </w:tbl>
    <w:p>
      <w:pPr>
        <w:spacing w:before="0" w:after="200"/>
      </w:pPr>
    </w:p>
    <w:sectPr>
      <w:headerReference w:type="default" r:id="rId6"/>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4"/>
        <w:bottom w:val="nil" w:color="FFFFFF" w:sz="0"/>
        <w:left w:val="nil" w:color="FFFFFF" w:sz="0"/>
        <w:right w:val="nil" w:color="FFFFFF" w:sz="0"/>
      </w:pBdr>
      <w:tabs>
        <w:tab w:val="right" w:pos="9026"/>
      </w:tabs>
      <w:spacing w:before="80" w:after="0"/>
    </w:pPr>
    <w:r>
      <w:rPr>
        <w:color w:val="AAAAAA"/>
        <w:sz w:val="16"/>
        <w:szCs w:val="16"/>
        <w:rFonts w:ascii="Arial" w:cs="Arial" w:eastAsia="Arial" w:hAnsi="Arial"/>
      </w:rPr>
      <w:t xml:space="preserve">www.americana-food.com</w:t>
    </w:r>
    <w:r>
      <w:rPr>
        <w:color w:val="888888"/>
        <w:sz w:val="16"/>
        <w:szCs w:val="16"/>
        <w:rFonts w:ascii="Arial" w:cs="Arial" w:eastAsia="Arial" w:hAnsi="Arial"/>
      </w:rPr>
      <w:t xml:space="preserve">	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top w:val="nil" w:color="FFFFFF" w:sz="0"/>
        <w:bottom w:val="single" w:color="1B3A6B" w:sz="6" w:space="4"/>
        <w:left w:val="nil" w:color="FFFFFF" w:sz="0"/>
        <w:right w:val="nil" w:color="FFFFFF" w:sz="0"/>
      </w:pBdr>
      <w:tabs>
        <w:tab w:val="right" w:pos="9026"/>
      </w:tabs>
      <w:spacing w:before="0" w:after="80"/>
    </w:pPr>
    <w:r>
      <w:rPr>
        <w:b/>
        <w:bCs/>
        <w:color w:val="1B3A6B"/>
        <w:sz w:val="18"/>
        <w:szCs w:val="18"/>
        <w:rFonts w:ascii="Arial" w:cs="Arial" w:eastAsia="Arial" w:hAnsi="Arial"/>
      </w:rPr>
      <w:t xml:space="preserve">Americana Restaurants</w:t>
    </w:r>
    <w:r>
      <w:rPr>
        <w:color w:val="888888"/>
        <w:sz w:val="18"/>
        <w:szCs w:val="18"/>
        <w:rFonts w:ascii="Arial" w:cs="Arial" w:eastAsia="Arial" w:hAnsi="Arial"/>
      </w:rPr>
      <w:t xml:space="preserve">	Annual Report 2024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0" w:after="200"/>
      <w:outlineLvl w:val="0"/>
    </w:pPr>
    <w:rPr>
      <w:b/>
      <w:bCs/>
      <w:color w:val="1B3A6B"/>
      <w:sz w:val="40"/>
      <w:szCs w:val="40"/>
      <w:rFonts w:ascii="Arial" w:cs="Arial" w:eastAsia="Arial" w:hAnsi="Arial"/>
    </w:rPr>
  </w:style>
  <w:style w:type="paragraph" w:styleId="Heading2">
    <w:name w:val="Heading 2"/>
    <w:basedOn w:val="Normal"/>
    <w:next w:val="Normal"/>
    <w:qFormat/>
    <w:pPr>
      <w:spacing w:before="240" w:after="120"/>
      <w:outlineLvl w:val="1"/>
    </w:pPr>
    <w:rPr>
      <w:b/>
      <w:bCs/>
      <w:color w:val="1B3A6B"/>
      <w:sz w:val="32"/>
      <w:szCs w:val="32"/>
      <w:rFonts w:ascii="Arial" w:cs="Arial" w:eastAsia="Arial" w:hAnsi="Arial"/>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Annual Report 2024</dc:title>
  <dc:creator>Infosys Analytics Team</dc:creator>
  <dc:description>Annual Report for Americana Restaurants</dc:description>
  <cp:lastModifiedBy>Un-named</cp:lastModifiedBy>
  <cp:revision>1</cp:revision>
  <dcterms:created xsi:type="dcterms:W3CDTF">2026-03-17T05:33:08.014Z</dcterms:created>
  <dcterms:modified xsi:type="dcterms:W3CDTF">2026-03-17T05:33:08.016Z</dcterms:modified>
</cp:coreProperties>
</file>

<file path=docProps/custom.xml><?xml version="1.0" encoding="utf-8"?>
<Properties xmlns="http://schemas.openxmlformats.org/officeDocument/2006/custom-properties" xmlns:vt="http://schemas.openxmlformats.org/officeDocument/2006/docPropsVTypes"/>
</file>