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80"/>
      </w:pPr>
      <w:r>
        <w:rPr>
          <w:rFonts w:ascii="Georgia" w:hAnsi="Georgia" w:eastAsia="Georgia"/>
          <w:b/>
          <w:color w:val="1A1512"/>
          <w:sz w:val="52"/>
        </w:rPr>
        <w:t>Qupuy, explicado</w:t>
      </w:r>
    </w:p>
    <w:p>
      <w:r>
        <w:t>Para entender la aplicación de punta a punta y poder defenderla en voz alta. Todo lo que dice este documento está en el código o verificado en la cadena.</w:t>
      </w:r>
    </w:p>
    <w:p>
      <w:pPr>
        <w:spacing w:before="360" w:after="160"/>
        <w:keepNext/>
        <w:pBdr>
          <w:bottom w:val="single" w:sz="6" w:space="4" w:color="D9D2C7"/>
        </w:pBdr>
      </w:pPr>
      <w:r>
        <w:rPr>
          <w:rFonts w:ascii="Georgia" w:hAnsi="Georgia" w:eastAsia="Georgia"/>
          <w:b/>
          <w:color w:val="D4463C"/>
          <w:sz w:val="34"/>
        </w:rPr>
        <w:t>1. En una frase</w:t>
      </w:r>
    </w:p>
    <w:p>
      <w:r>
        <w:rPr>
          <w:b/>
        </w:rPr>
        <w:t>Qupuy es un portal de cursos donde el acceso es un objeto que el alumno posee y puede pasarle a otra persona — prestado o regalado — y cada mano por la que pasa queda registrada en la blockchain.</w:t>
      </w:r>
    </w:p>
    <w:p>
      <w:r>
        <w:rPr>
          <w:i/>
        </w:rPr>
        <w:t>Qupuy</w:t>
      </w:r>
      <w:r>
        <w:t xml:space="preserve"> (quechua): dar a otro, entregar — y también pagar. Las dos cosas que hace el producto en una sola palabra.</w:t>
      </w:r>
    </w:p>
    <w:p>
      <w:pPr>
        <w:spacing w:before="360" w:after="160"/>
        <w:keepNext/>
        <w:pBdr>
          <w:bottom w:val="single" w:sz="6" w:space="4" w:color="D9D2C7"/>
        </w:pBdr>
      </w:pPr>
      <w:r>
        <w:rPr>
          <w:rFonts w:ascii="Georgia" w:hAnsi="Georgia" w:eastAsia="Georgia"/>
          <w:b/>
          <w:color w:val="D4463C"/>
          <w:sz w:val="34"/>
        </w:rPr>
        <w:t>2. El problema real</w:t>
      </w:r>
    </w:p>
    <w:p>
      <w:r>
        <w:t>En Bolivia un creador de contenido no tiene forma de cobrar por internet. No es una exageración:</w:t>
      </w:r>
    </w:p>
    <w:p>
      <w:pPr>
        <w:pStyle w:val="ListBullet"/>
        <w:spacing w:after="60"/>
      </w:pPr>
      <w:r>
        <w:rPr>
          <w:b/>
        </w:rPr>
        <w:t>Bolivia es el único país de Latinoamérica sin PayPal.</w:t>
      </w:r>
    </w:p>
    <w:p>
      <w:pPr>
        <w:pStyle w:val="ListBullet"/>
        <w:spacing w:after="60"/>
      </w:pPr>
      <w:r>
        <w:rPr>
          <w:b/>
        </w:rPr>
        <w:t>MercadoPago</w:t>
      </w:r>
      <w:r>
        <w:t xml:space="preserve"> opera en toda la región salvo Ecuador, Bolivia y Venezuela.</w:t>
      </w:r>
    </w:p>
    <w:p>
      <w:pPr>
        <w:pStyle w:val="ListBullet"/>
        <w:spacing w:after="60"/>
      </w:pPr>
      <w:r>
        <w:t>Udemy paga por PayPal. Hotmart exige una cuenta que reciba dólares. Teachable usa Stripe, que no opera aquí.</w:t>
      </w:r>
    </w:p>
    <w:p>
      <w:r>
        <w:t xml:space="preserve">La salida real de un profesor de inglés en Cochabamba es vender por WhatsApp, cobrar por QR y mandar un enlace de Drive. Tres días después el enlace circula en cinco grupos: </w:t>
      </w:r>
      <w:r>
        <w:rPr>
          <w:b/>
        </w:rPr>
        <w:t>vendió veinte accesos y lo ven doscientas personas.</w:t>
      </w:r>
    </w:p>
    <w:p>
      <w:r>
        <w:t>El problema no es que falte blockchain. Es que no tiene forma de cobrar por un acceso, y de que ese acceso signifique algo.</w:t>
      </w:r>
    </w:p>
    <w:p>
      <w:pPr>
        <w:spacing w:before="360" w:after="160"/>
        <w:keepNext/>
        <w:pBdr>
          <w:bottom w:val="single" w:sz="6" w:space="4" w:color="D9D2C7"/>
        </w:pBdr>
      </w:pPr>
      <w:r>
        <w:rPr>
          <w:rFonts w:ascii="Georgia" w:hAnsi="Georgia" w:eastAsia="Georgia"/>
          <w:b/>
          <w:color w:val="D4463C"/>
          <w:sz w:val="34"/>
        </w:rPr>
        <w:t>3. Qué es Qupuy</w:t>
      </w:r>
    </w:p>
    <w:p>
      <w:r>
        <w:rPr>
          <w:b/>
        </w:rPr>
        <w:t>Para el alumno:</w:t>
      </w:r>
      <w:r>
        <w:t xml:space="preserve"> un catálogo de cursos. Ve gratis la primera clase de cualquiera. Compra el acceso con su wallet, ve el curso completo durante 30 días, y cuando termina se lo pasa a alguien.</w:t>
      </w:r>
    </w:p>
    <w:p>
      <w:r>
        <w:rPr>
          <w:b/>
        </w:rPr>
        <w:t>Para el creador:</w:t>
      </w:r>
      <w:r>
        <w:t xml:space="preserve"> una forma de cobrar que no depende de PayPal ni de un banco que reciba dólares, y un acceso que significa algo: solo una persona lo tiene a la vez, aunque circule.</w:t>
      </w:r>
    </w:p>
    <w:p>
      <w:r>
        <w:rPr>
          <w:b/>
        </w:rPr>
        <w:t>Por dentro:</w:t>
      </w:r>
      <w:r>
        <w:t xml:space="preserve"> cada curso tiene un </w:t>
      </w:r>
      <w:r>
        <w:rPr>
          <w:b/>
        </w:rPr>
        <w:t>Lock</w:t>
      </w:r>
      <w:r>
        <w:t xml:space="preserve"> de Unlock Protocol (un contrato desplegado desde su panel, sin escribir Solidity). Comprar es llamar a ese contrato; el alumno recibe una </w:t>
      </w:r>
      <w:r>
        <w:rPr>
          <w:b/>
        </w:rPr>
        <w:t>key</w:t>
      </w:r>
      <w:r>
        <w:t>, un NFT con fecha de vencimiento. La aplicación no decide nada por su cuenta: le pregunta al contrato.</w:t>
      </w:r>
    </w:p>
    <w:p>
      <w:pPr>
        <w:spacing w:before="360" w:after="160"/>
        <w:keepNext/>
        <w:pBdr>
          <w:bottom w:val="single" w:sz="6" w:space="4" w:color="D9D2C7"/>
        </w:pBdr>
      </w:pPr>
      <w:r>
        <w:rPr>
          <w:rFonts w:ascii="Georgia" w:hAnsi="Georgia" w:eastAsia="Georgia"/>
          <w:b/>
          <w:color w:val="D4463C"/>
          <w:sz w:val="34"/>
        </w:rPr>
        <w:t>4. Cómo se usa, paso a paso</w:t>
      </w:r>
    </w:p>
    <w:tbl>
      <w:tblPr>
        <w:tblStyle w:val="TableGrid"/>
        <w:tblW w:type="auto" w:w="0"/>
        <w:tblLayout w:type="autofit"/>
        <w:tblLook w:firstColumn="1" w:firstRow="1" w:lastColumn="0" w:lastRow="0" w:noHBand="0" w:noVBand="1" w:val="04A0"/>
        <w:tblBorders>
          <w:top w:val="single" w:sz="4" w:color="D9D2C7"/>
          <w:left w:val="single" w:sz="4" w:color="D9D2C7"/>
          <w:bottom w:val="single" w:sz="4" w:color="D9D2C7"/>
          <w:right w:val="single" w:sz="4" w:color="D9D2C7"/>
          <w:insideH w:val="single" w:sz="4" w:color="D9D2C7"/>
          <w:insideV w:val="single" w:sz="4" w:color="D9D2C7"/>
        </w:tblBorders>
      </w:tblPr>
      <w:tblGrid>
        <w:gridCol w:w="3168"/>
        <w:gridCol w:w="3168"/>
        <w:gridCol w:w="3168"/>
      </w:tblGrid>
      <w:tr>
        <w:tc>
          <w:tcPr>
            <w:tcW w:type="dxa" w:w="3168"/>
            <w:shd w:val="clear" w:color="auto" w:fill="F2EDE4"/>
          </w:tcPr>
          <w:p>
            <w:pPr>
              <w:spacing w:after="0"/>
            </w:pPr>
            <w:r/>
            <w:r>
              <w:rPr>
                <w:b/>
                <w:color w:val="7A7066"/>
                <w:sz w:val="19"/>
              </w:rPr>
              <w:t>Paso</w:t>
            </w:r>
          </w:p>
        </w:tc>
        <w:tc>
          <w:tcPr>
            <w:tcW w:type="dxa" w:w="3168"/>
            <w:shd w:val="clear" w:color="auto" w:fill="F2EDE4"/>
          </w:tcPr>
          <w:p>
            <w:pPr>
              <w:spacing w:after="0"/>
            </w:pPr>
            <w:r/>
            <w:r>
              <w:rPr>
                <w:b/>
                <w:color w:val="7A7066"/>
                <w:sz w:val="19"/>
              </w:rPr>
              <w:t>Qué hace la persona</w:t>
            </w:r>
          </w:p>
        </w:tc>
        <w:tc>
          <w:tcPr>
            <w:tcW w:type="dxa" w:w="3168"/>
            <w:shd w:val="clear" w:color="auto" w:fill="F2EDE4"/>
          </w:tcPr>
          <w:p>
            <w:pPr>
              <w:spacing w:after="0"/>
            </w:pPr>
            <w:r/>
            <w:r>
              <w:rPr>
                <w:b/>
                <w:color w:val="7A7066"/>
                <w:sz w:val="19"/>
              </w:rPr>
              <w:t>Qué pasa por debajo</w:t>
            </w:r>
          </w:p>
        </w:tc>
      </w:tr>
      <w:tr>
        <w:tc>
          <w:tcPr>
            <w:tcW w:type="dxa" w:w="3168"/>
          </w:tcPr>
          <w:p>
            <w:pPr>
              <w:spacing w:after="0"/>
            </w:pPr>
            <w:r/>
            <w:r>
              <w:rPr>
                <w:sz w:val="20"/>
              </w:rPr>
              <w:t>Descubrir</w:t>
            </w:r>
          </w:p>
        </w:tc>
        <w:tc>
          <w:tcPr>
            <w:tcW w:type="dxa" w:w="3168"/>
          </w:tcPr>
          <w:p>
            <w:pPr>
              <w:spacing w:after="0"/>
            </w:pPr>
            <w:r/>
            <w:r>
              <w:rPr>
                <w:sz w:val="20"/>
              </w:rPr>
              <w:t xml:space="preserve">Abre </w:t>
            </w:r>
            <w:r>
              <w:rPr>
                <w:rFonts w:ascii="Consolas" w:hAnsi="Consolas" w:eastAsia="Consolas"/>
                <w:sz w:val="18"/>
                <w:shd w:val="clear" w:color="auto" w:fill="EFE9DF"/>
              </w:rPr>
              <w:t>qupuy.vercel.app</w:t>
            </w:r>
            <w:r>
              <w:rPr>
                <w:sz w:val="20"/>
              </w:rPr>
              <w:t>, ve tres cursos con precio en Bs y duración</w:t>
            </w:r>
          </w:p>
        </w:tc>
        <w:tc>
          <w:tcPr>
            <w:tcW w:type="dxa" w:w="3168"/>
          </w:tcPr>
          <w:p>
            <w:pPr>
              <w:spacing w:after="0"/>
            </w:pPr>
            <w:r/>
            <w:r>
              <w:rPr>
                <w:sz w:val="20"/>
              </w:rPr>
              <w:t>La portada lee la actividad de cada Lock</w:t>
            </w:r>
          </w:p>
        </w:tc>
      </w:tr>
      <w:tr>
        <w:tc>
          <w:tcPr>
            <w:tcW w:type="dxa" w:w="3168"/>
          </w:tcPr>
          <w:p>
            <w:pPr>
              <w:spacing w:after="0"/>
            </w:pPr>
            <w:r/>
            <w:r>
              <w:rPr>
                <w:sz w:val="20"/>
              </w:rPr>
              <w:t>Previsualizar</w:t>
            </w:r>
          </w:p>
        </w:tc>
        <w:tc>
          <w:tcPr>
            <w:tcW w:type="dxa" w:w="3168"/>
          </w:tcPr>
          <w:p>
            <w:pPr>
              <w:spacing w:after="0"/>
            </w:pPr>
            <w:r/>
            <w:r>
              <w:rPr>
                <w:sz w:val="20"/>
              </w:rPr>
              <w:t>Entra a un curso sin wallet y ve la primera clase</w:t>
            </w:r>
          </w:p>
        </w:tc>
        <w:tc>
          <w:tcPr>
            <w:tcW w:type="dxa" w:w="3168"/>
          </w:tcPr>
          <w:p>
            <w:pPr>
              <w:spacing w:after="0"/>
            </w:pPr>
            <w:r/>
            <w:r>
              <w:rPr>
                <w:sz w:val="20"/>
              </w:rPr>
              <w:t>Solo la clase gratuita viaja en la página</w:t>
            </w:r>
          </w:p>
        </w:tc>
      </w:tr>
      <w:tr>
        <w:tc>
          <w:tcPr>
            <w:tcW w:type="dxa" w:w="3168"/>
          </w:tcPr>
          <w:p>
            <w:pPr>
              <w:spacing w:after="0"/>
            </w:pPr>
            <w:r/>
            <w:r>
              <w:rPr>
                <w:sz w:val="20"/>
              </w:rPr>
              <w:t>Verificar</w:t>
            </w:r>
          </w:p>
        </w:tc>
        <w:tc>
          <w:tcPr>
            <w:tcW w:type="dxa" w:w="3168"/>
          </w:tcPr>
          <w:p>
            <w:pPr>
              <w:spacing w:after="0"/>
            </w:pPr>
            <w:r/>
            <w:r>
              <w:rPr>
                <w:sz w:val="20"/>
              </w:rPr>
              <w:t>Conecta la wallet</w:t>
            </w:r>
          </w:p>
        </w:tc>
        <w:tc>
          <w:tcPr>
            <w:tcW w:type="dxa" w:w="3168"/>
          </w:tcPr>
          <w:p>
            <w:pPr>
              <w:spacing w:after="0"/>
            </w:pPr>
            <w:r/>
            <w:r>
              <w:rPr>
                <w:sz w:val="20"/>
              </w:rPr>
              <w:t xml:space="preserve">La app llama a </w:t>
            </w:r>
            <w:r>
              <w:rPr>
                <w:rFonts w:ascii="Consolas" w:hAnsi="Consolas" w:eastAsia="Consolas"/>
                <w:sz w:val="18"/>
                <w:shd w:val="clear" w:color="auto" w:fill="EFE9DF"/>
              </w:rPr>
              <w:t>getHasValidKey(wallet)</w:t>
            </w:r>
            <w:r>
              <w:rPr>
                <w:sz w:val="20"/>
              </w:rPr>
              <w:t xml:space="preserve"> en el Lock del curso</w:t>
            </w:r>
          </w:p>
        </w:tc>
      </w:tr>
      <w:tr>
        <w:tc>
          <w:tcPr>
            <w:tcW w:type="dxa" w:w="3168"/>
          </w:tcPr>
          <w:p>
            <w:pPr>
              <w:spacing w:after="0"/>
            </w:pPr>
            <w:r/>
            <w:r>
              <w:rPr>
                <w:sz w:val="20"/>
              </w:rPr>
              <w:t>Desbloquear</w:t>
            </w:r>
          </w:p>
        </w:tc>
        <w:tc>
          <w:tcPr>
            <w:tcW w:type="dxa" w:w="3168"/>
          </w:tcPr>
          <w:p>
            <w:pPr>
              <w:spacing w:after="0"/>
            </w:pPr>
            <w:r/>
            <w:r>
              <w:rPr>
                <w:sz w:val="20"/>
              </w:rPr>
              <w:t>Pulsa "Desbloquear curso completo" y firma</w:t>
            </w:r>
          </w:p>
        </w:tc>
        <w:tc>
          <w:tcPr>
            <w:tcW w:type="dxa" w:w="3168"/>
          </w:tcPr>
          <w:p>
            <w:pPr>
              <w:spacing w:after="0"/>
            </w:pPr>
            <w:r/>
            <w:r>
              <w:rPr>
                <w:rFonts w:ascii="Consolas" w:hAnsi="Consolas" w:eastAsia="Consolas"/>
                <w:sz w:val="18"/>
                <w:shd w:val="clear" w:color="auto" w:fill="EFE9DF"/>
              </w:rPr>
              <w:t>purchase()</w:t>
            </w:r>
            <w:r>
              <w:rPr>
                <w:sz w:val="20"/>
              </w:rPr>
              <w:t xml:space="preserve"> en el Lock, con el precio que el propio contrato indica</w:t>
            </w:r>
          </w:p>
        </w:tc>
      </w:tr>
      <w:tr>
        <w:tc>
          <w:tcPr>
            <w:tcW w:type="dxa" w:w="3168"/>
          </w:tcPr>
          <w:p>
            <w:pPr>
              <w:spacing w:after="0"/>
            </w:pPr>
            <w:r/>
            <w:r>
              <w:rPr>
                <w:sz w:val="20"/>
              </w:rPr>
              <w:t>Ver</w:t>
            </w:r>
          </w:p>
        </w:tc>
        <w:tc>
          <w:tcPr>
            <w:tcW w:type="dxa" w:w="3168"/>
          </w:tcPr>
          <w:p>
            <w:pPr>
              <w:spacing w:after="0"/>
            </w:pPr>
            <w:r/>
            <w:r>
              <w:rPr>
                <w:sz w:val="20"/>
              </w:rPr>
              <w:t>El contenido aparece sin recargar</w:t>
            </w:r>
          </w:p>
        </w:tc>
        <w:tc>
          <w:tcPr>
            <w:tcW w:type="dxa" w:w="3168"/>
          </w:tcPr>
          <w:p>
            <w:pPr>
              <w:spacing w:after="0"/>
            </w:pPr>
            <w:r/>
            <w:r>
              <w:rPr>
                <w:sz w:val="20"/>
              </w:rPr>
              <w:t>El servidor entrega cada clase de pago solo tras consultar el contrato</w:t>
            </w:r>
          </w:p>
        </w:tc>
      </w:tr>
      <w:tr>
        <w:tc>
          <w:tcPr>
            <w:tcW w:type="dxa" w:w="3168"/>
          </w:tcPr>
          <w:p>
            <w:pPr>
              <w:spacing w:after="0"/>
            </w:pPr>
            <w:r/>
            <w:r>
              <w:rPr>
                <w:sz w:val="20"/>
              </w:rPr>
              <w:t>Pasar</w:t>
            </w:r>
          </w:p>
        </w:tc>
        <w:tc>
          <w:tcPr>
            <w:tcW w:type="dxa" w:w="3168"/>
          </w:tcPr>
          <w:p>
            <w:pPr>
              <w:spacing w:after="0"/>
            </w:pPr>
            <w:r/>
            <w:r>
              <w:rPr>
                <w:sz w:val="20"/>
              </w:rPr>
              <w:t>Pulsa "Pasar mi acceso", elige Prestar o Regalar, escanea el QR de la otra persona</w:t>
            </w:r>
          </w:p>
        </w:tc>
        <w:tc>
          <w:tcPr>
            <w:tcW w:type="dxa" w:w="3168"/>
          </w:tcPr>
          <w:p>
            <w:pPr>
              <w:spacing w:after="0"/>
            </w:pPr>
            <w:r/>
            <w:r>
              <w:rPr>
                <w:rFonts w:ascii="Consolas" w:hAnsi="Consolas" w:eastAsia="Consolas"/>
                <w:sz w:val="18"/>
                <w:shd w:val="clear" w:color="auto" w:fill="EFE9DF"/>
              </w:rPr>
              <w:t>lendKey()</w:t>
            </w:r>
            <w:r>
              <w:rPr>
                <w:sz w:val="20"/>
              </w:rPr>
              <w:t xml:space="preserve"> o </w:t>
            </w:r>
            <w:r>
              <w:rPr>
                <w:rFonts w:ascii="Consolas" w:hAnsi="Consolas" w:eastAsia="Consolas"/>
                <w:sz w:val="18"/>
                <w:shd w:val="clear" w:color="auto" w:fill="EFE9DF"/>
              </w:rPr>
              <w:t>transferFrom()</w:t>
            </w:r>
          </w:p>
        </w:tc>
      </w:tr>
      <w:tr>
        <w:tc>
          <w:tcPr>
            <w:tcW w:type="dxa" w:w="3168"/>
          </w:tcPr>
          <w:p>
            <w:pPr>
              <w:spacing w:after="0"/>
            </w:pPr>
            <w:r/>
            <w:r>
              <w:rPr>
                <w:sz w:val="20"/>
              </w:rPr>
              <w:t>Recuperar</w:t>
            </w:r>
          </w:p>
        </w:tc>
        <w:tc>
          <w:tcPr>
            <w:tcW w:type="dxa" w:w="3168"/>
          </w:tcPr>
          <w:p>
            <w:pPr>
              <w:spacing w:after="0"/>
            </w:pPr>
            <w:r/>
            <w:r>
              <w:rPr>
                <w:sz w:val="20"/>
              </w:rPr>
              <w:t>En "Mi acceso", pulsa "Recuperar" sobre un préstamo</w:t>
            </w:r>
          </w:p>
        </w:tc>
        <w:tc>
          <w:tcPr>
            <w:tcW w:type="dxa" w:w="3168"/>
          </w:tcPr>
          <w:p>
            <w:pPr>
              <w:spacing w:after="0"/>
            </w:pPr>
            <w:r/>
            <w:r>
              <w:rPr>
                <w:rFonts w:ascii="Consolas" w:hAnsi="Consolas" w:eastAsia="Consolas"/>
                <w:sz w:val="18"/>
                <w:shd w:val="clear" w:color="auto" w:fill="EFE9DF"/>
              </w:rPr>
              <w:t>unlendKey()</w:t>
            </w:r>
          </w:p>
        </w:tc>
      </w:tr>
      <w:tr>
        <w:tc>
          <w:tcPr>
            <w:tcW w:type="dxa" w:w="3168"/>
          </w:tcPr>
          <w:p>
            <w:pPr>
              <w:spacing w:after="0"/>
            </w:pPr>
            <w:r/>
            <w:r>
              <w:rPr>
                <w:sz w:val="20"/>
              </w:rPr>
              <w:t>Renovar</w:t>
            </w:r>
          </w:p>
        </w:tc>
        <w:tc>
          <w:tcPr>
            <w:tcW w:type="dxa" w:w="3168"/>
          </w:tcPr>
          <w:p>
            <w:pPr>
              <w:spacing w:after="0"/>
            </w:pPr>
            <w:r/>
            <w:r>
              <w:rPr>
                <w:sz w:val="20"/>
              </w:rPr>
              <w:t>Cuando venció, "Renovar mi acceso"</w:t>
            </w:r>
          </w:p>
        </w:tc>
        <w:tc>
          <w:tcPr>
            <w:tcW w:type="dxa" w:w="3168"/>
          </w:tcPr>
          <w:p>
            <w:pPr>
              <w:spacing w:after="0"/>
            </w:pPr>
            <w:r/>
            <w:r>
              <w:rPr>
                <w:rFonts w:ascii="Consolas" w:hAnsi="Consolas" w:eastAsia="Consolas"/>
                <w:sz w:val="18"/>
                <w:shd w:val="clear" w:color="auto" w:fill="EFE9DF"/>
              </w:rPr>
              <w:t>extend()</w:t>
            </w:r>
            <w:r>
              <w:rPr>
                <w:sz w:val="20"/>
              </w:rPr>
              <w:t xml:space="preserve"> sobre la misma key</w:t>
            </w:r>
          </w:p>
        </w:tc>
      </w:tr>
    </w:tbl>
    <w:p>
      <w:pPr>
        <w:spacing w:after="80"/>
      </w:pPr>
    </w:p>
    <w:p>
      <w:r>
        <w:rPr>
          <w:b/>
        </w:rPr>
        <w:t>Rutas:</w:t>
      </w:r>
      <w:r>
        <w:t xml:space="preserve"> </w:t>
      </w:r>
      <w:r>
        <w:rPr>
          <w:rFonts w:ascii="Consolas" w:hAnsi="Consolas" w:eastAsia="Consolas"/>
          <w:sz w:val="20"/>
          <w:shd w:val="clear" w:color="auto" w:fill="EFE9DF"/>
        </w:rPr>
        <w:t>/</w:t>
      </w:r>
      <w:r>
        <w:t xml:space="preserve"> catálogo · </w:t>
      </w:r>
      <w:r>
        <w:rPr>
          <w:rFonts w:ascii="Consolas" w:hAnsi="Consolas" w:eastAsia="Consolas"/>
          <w:sz w:val="20"/>
          <w:shd w:val="clear" w:color="auto" w:fill="EFE9DF"/>
        </w:rPr>
        <w:t>/curso/[slug]</w:t>
      </w:r>
      <w:r>
        <w:t xml:space="preserve"> el curso · </w:t>
      </w:r>
      <w:r>
        <w:rPr>
          <w:rFonts w:ascii="Consolas" w:hAnsi="Consolas" w:eastAsia="Consolas"/>
          <w:sz w:val="20"/>
          <w:shd w:val="clear" w:color="auto" w:fill="EFE9DF"/>
        </w:rPr>
        <w:t>/mi-acceso</w:t>
      </w:r>
      <w:r>
        <w:t xml:space="preserve"> tus accesos y tus préstamos · </w:t>
      </w:r>
      <w:r>
        <w:rPr>
          <w:rFonts w:ascii="Consolas" w:hAnsi="Consolas" w:eastAsia="Consolas"/>
          <w:sz w:val="20"/>
          <w:shd w:val="clear" w:color="auto" w:fill="EFE9DF"/>
        </w:rPr>
        <w:t>/recibir</w:t>
      </w:r>
      <w:r>
        <w:t xml:space="preserve"> tu QR para recibir · </w:t>
      </w:r>
      <w:r>
        <w:rPr>
          <w:rFonts w:ascii="Consolas" w:hAnsi="Consolas" w:eastAsia="Consolas"/>
          <w:sz w:val="20"/>
          <w:shd w:val="clear" w:color="auto" w:fill="EFE9DF"/>
        </w:rPr>
        <w:t>/debug</w:t>
      </w:r>
      <w:r>
        <w:t xml:space="preserve"> para consultar los contratos a mano.</w:t>
      </w:r>
    </w:p>
    <w:p>
      <w:pPr>
        <w:spacing w:before="360" w:after="160"/>
        <w:keepNext/>
        <w:pBdr>
          <w:bottom w:val="single" w:sz="6" w:space="4" w:color="D9D2C7"/>
        </w:pBdr>
      </w:pPr>
      <w:r>
        <w:rPr>
          <w:rFonts w:ascii="Georgia" w:hAnsi="Georgia" w:eastAsia="Georgia"/>
          <w:b/>
          <w:color w:val="D4463C"/>
          <w:sz w:val="34"/>
        </w:rPr>
        <w:t>5. Las tres formas de mover un acceso</w:t>
      </w:r>
    </w:p>
    <w:p>
      <w:r>
        <w:t>Esto es lo que ninguna plataforma de cursos puede ofrecer, y es la razón de ser del proyecto.</w:t>
      </w:r>
    </w:p>
    <w:tbl>
      <w:tblPr>
        <w:tblStyle w:val="TableGrid"/>
        <w:tblW w:type="auto" w:w="0"/>
        <w:tblLayout w:type="autofit"/>
        <w:tblLook w:firstColumn="1" w:firstRow="1" w:lastColumn="0" w:lastRow="0" w:noHBand="0" w:noVBand="1" w:val="04A0"/>
        <w:tblBorders>
          <w:top w:val="single" w:sz="4" w:color="D9D2C7"/>
          <w:left w:val="single" w:sz="4" w:color="D9D2C7"/>
          <w:bottom w:val="single" w:sz="4" w:color="D9D2C7"/>
          <w:right w:val="single" w:sz="4" w:color="D9D2C7"/>
          <w:insideH w:val="single" w:sz="4" w:color="D9D2C7"/>
          <w:insideV w:val="single" w:sz="4" w:color="D9D2C7"/>
        </w:tblBorders>
      </w:tblPr>
      <w:tblGrid>
        <w:gridCol w:w="2376"/>
        <w:gridCol w:w="2376"/>
        <w:gridCol w:w="2376"/>
        <w:gridCol w:w="2376"/>
      </w:tblGrid>
      <w:tr>
        <w:tc>
          <w:tcPr>
            <w:tcW w:type="dxa" w:w="2376"/>
            <w:shd w:val="clear" w:color="auto" w:fill="F2EDE4"/>
          </w:tcPr>
          <w:p>
            <w:pPr>
              <w:spacing w:after="0"/>
            </w:pPr>
            <w:r/>
          </w:p>
        </w:tc>
        <w:tc>
          <w:tcPr>
            <w:tcW w:type="dxa" w:w="2376"/>
            <w:shd w:val="clear" w:color="auto" w:fill="F2EDE4"/>
          </w:tcPr>
          <w:p>
            <w:pPr>
              <w:spacing w:after="0"/>
            </w:pPr>
            <w:r/>
            <w:r>
              <w:rPr>
                <w:b/>
                <w:color w:val="7A7066"/>
                <w:sz w:val="19"/>
              </w:rPr>
              <w:t>Qué pasa</w:t>
            </w:r>
          </w:p>
        </w:tc>
        <w:tc>
          <w:tcPr>
            <w:tcW w:type="dxa" w:w="2376"/>
            <w:shd w:val="clear" w:color="auto" w:fill="F2EDE4"/>
          </w:tcPr>
          <w:p>
            <w:pPr>
              <w:spacing w:after="0"/>
            </w:pPr>
            <w:r/>
            <w:r>
              <w:rPr>
                <w:b/>
                <w:color w:val="7A7066"/>
                <w:sz w:val="19"/>
              </w:rPr>
              <w:t>Quién manda después</w:t>
            </w:r>
          </w:p>
        </w:tc>
        <w:tc>
          <w:tcPr>
            <w:tcW w:type="dxa" w:w="2376"/>
            <w:shd w:val="clear" w:color="auto" w:fill="F2EDE4"/>
          </w:tcPr>
          <w:p>
            <w:pPr>
              <w:spacing w:after="0"/>
            </w:pPr>
            <w:r/>
            <w:r>
              <w:rPr>
                <w:b/>
                <w:color w:val="7A7066"/>
                <w:sz w:val="19"/>
              </w:rPr>
              <w:t>Función del contrato</w:t>
            </w:r>
          </w:p>
        </w:tc>
      </w:tr>
      <w:tr>
        <w:tc>
          <w:tcPr>
            <w:tcW w:type="dxa" w:w="2376"/>
          </w:tcPr>
          <w:p>
            <w:pPr>
              <w:spacing w:after="0"/>
            </w:pPr>
            <w:r/>
            <w:r>
              <w:rPr>
                <w:b/>
                <w:sz w:val="20"/>
              </w:rPr>
              <w:t>Regalar</w:t>
            </w:r>
          </w:p>
        </w:tc>
        <w:tc>
          <w:tcPr>
            <w:tcW w:type="dxa" w:w="2376"/>
          </w:tcPr>
          <w:p>
            <w:pPr>
              <w:spacing w:after="0"/>
            </w:pPr>
            <w:r/>
            <w:r>
              <w:rPr>
                <w:sz w:val="20"/>
              </w:rPr>
              <w:t>El acceso pasa a ser de la otra persona, definitivamente. Puede volver a pasarlo.</w:t>
            </w:r>
          </w:p>
        </w:tc>
        <w:tc>
          <w:tcPr>
            <w:tcW w:type="dxa" w:w="2376"/>
          </w:tcPr>
          <w:p>
            <w:pPr>
              <w:spacing w:after="0"/>
            </w:pPr>
            <w:r/>
            <w:r>
              <w:rPr>
                <w:sz w:val="20"/>
              </w:rPr>
              <w:t>Quien lo recibió</w:t>
            </w:r>
          </w:p>
        </w:tc>
        <w:tc>
          <w:tcPr>
            <w:tcW w:type="dxa" w:w="2376"/>
          </w:tcPr>
          <w:p>
            <w:pPr>
              <w:spacing w:after="0"/>
            </w:pPr>
            <w:r/>
            <w:r>
              <w:rPr>
                <w:rFonts w:ascii="Consolas" w:hAnsi="Consolas" w:eastAsia="Consolas"/>
                <w:sz w:val="18"/>
                <w:shd w:val="clear" w:color="auto" w:fill="EFE9DF"/>
              </w:rPr>
              <w:t>transferFrom</w:t>
            </w:r>
          </w:p>
        </w:tc>
      </w:tr>
      <w:tr>
        <w:tc>
          <w:tcPr>
            <w:tcW w:type="dxa" w:w="2376"/>
          </w:tcPr>
          <w:p>
            <w:pPr>
              <w:spacing w:after="0"/>
            </w:pPr>
            <w:r/>
            <w:r>
              <w:rPr>
                <w:b/>
                <w:sz w:val="20"/>
              </w:rPr>
              <w:t>Prestar</w:t>
            </w:r>
          </w:p>
        </w:tc>
        <w:tc>
          <w:tcPr>
            <w:tcW w:type="dxa" w:w="2376"/>
          </w:tcPr>
          <w:p>
            <w:pPr>
              <w:spacing w:after="0"/>
            </w:pPr>
            <w:r/>
            <w:r>
              <w:rPr>
                <w:sz w:val="20"/>
              </w:rPr>
              <w:t xml:space="preserve">La otra persona tiene el acceso, pero </w:t>
            </w:r>
            <w:r>
              <w:rPr>
                <w:b/>
                <w:sz w:val="20"/>
              </w:rPr>
              <w:t>no puede pasarlo a nadie</w:t>
            </w:r>
            <w:r>
              <w:rPr>
                <w:sz w:val="20"/>
              </w:rPr>
              <w:t xml:space="preserve">. Tú sigues siendo el </w:t>
            </w:r>
            <w:r>
              <w:rPr>
                <w:i/>
                <w:sz w:val="20"/>
              </w:rPr>
              <w:t>key manager</w:t>
            </w:r>
            <w:r>
              <w:rPr>
                <w:sz w:val="20"/>
              </w:rPr>
              <w:t>.</w:t>
            </w:r>
          </w:p>
        </w:tc>
        <w:tc>
          <w:tcPr>
            <w:tcW w:type="dxa" w:w="2376"/>
          </w:tcPr>
          <w:p>
            <w:pPr>
              <w:spacing w:after="0"/>
            </w:pPr>
            <w:r/>
            <w:r>
              <w:rPr>
                <w:sz w:val="20"/>
              </w:rPr>
              <w:t>Quien lo prestó</w:t>
            </w:r>
          </w:p>
        </w:tc>
        <w:tc>
          <w:tcPr>
            <w:tcW w:type="dxa" w:w="2376"/>
          </w:tcPr>
          <w:p>
            <w:pPr>
              <w:spacing w:after="0"/>
            </w:pPr>
            <w:r/>
            <w:r>
              <w:rPr>
                <w:rFonts w:ascii="Consolas" w:hAnsi="Consolas" w:eastAsia="Consolas"/>
                <w:sz w:val="18"/>
                <w:shd w:val="clear" w:color="auto" w:fill="EFE9DF"/>
              </w:rPr>
              <w:t>lendKey</w:t>
            </w:r>
          </w:p>
        </w:tc>
      </w:tr>
      <w:tr>
        <w:tc>
          <w:tcPr>
            <w:tcW w:type="dxa" w:w="2376"/>
          </w:tcPr>
          <w:p>
            <w:pPr>
              <w:spacing w:after="0"/>
            </w:pPr>
            <w:r/>
            <w:r>
              <w:rPr>
                <w:b/>
                <w:sz w:val="20"/>
              </w:rPr>
              <w:t>Recuperar</w:t>
            </w:r>
          </w:p>
        </w:tc>
        <w:tc>
          <w:tcPr>
            <w:tcW w:type="dxa" w:w="2376"/>
          </w:tcPr>
          <w:p>
            <w:pPr>
              <w:spacing w:after="0"/>
            </w:pPr>
            <w:r/>
            <w:r>
              <w:rPr>
                <w:sz w:val="20"/>
              </w:rPr>
              <w:t>Un préstamo vuelve a quien lo prestó, cuando quiera.</w:t>
            </w:r>
          </w:p>
        </w:tc>
        <w:tc>
          <w:tcPr>
            <w:tcW w:type="dxa" w:w="2376"/>
          </w:tcPr>
          <w:p>
            <w:pPr>
              <w:spacing w:after="0"/>
            </w:pPr>
            <w:r/>
            <w:r>
              <w:rPr>
                <w:sz w:val="20"/>
              </w:rPr>
              <w:t>—</w:t>
            </w:r>
          </w:p>
        </w:tc>
        <w:tc>
          <w:tcPr>
            <w:tcW w:type="dxa" w:w="2376"/>
          </w:tcPr>
          <w:p>
            <w:pPr>
              <w:spacing w:after="0"/>
            </w:pPr>
            <w:r/>
            <w:r>
              <w:rPr>
                <w:rFonts w:ascii="Consolas" w:hAnsi="Consolas" w:eastAsia="Consolas"/>
                <w:sz w:val="18"/>
                <w:shd w:val="clear" w:color="auto" w:fill="EFE9DF"/>
              </w:rPr>
              <w:t>unlendKey</w:t>
            </w:r>
          </w:p>
        </w:tc>
      </w:tr>
    </w:tbl>
    <w:p>
      <w:pPr>
        <w:spacing w:after="80"/>
      </w:pPr>
    </w:p>
    <w:p>
      <w:r>
        <w:t xml:space="preserve">En los tres casos, </w:t>
      </w:r>
      <w:r>
        <w:rPr>
          <w:b/>
        </w:rPr>
        <w:t>quien entrega pierde el acceso en el acto</w:t>
      </w:r>
      <w:r>
        <w:t>. Solo una persona lo tiene a la vez. No hay "compartir contraseña": hay un objeto que cambia de manos.</w:t>
      </w:r>
    </w:p>
    <w:p>
      <w:r>
        <w:rPr>
          <w:b/>
        </w:rPr>
        <w:t>Qué ve cada persona:</w:t>
      </w:r>
    </w:p>
    <w:p>
      <w:pPr>
        <w:pStyle w:val="ListBullet"/>
        <w:spacing w:after="60"/>
      </w:pPr>
      <w:r>
        <w:t xml:space="preserve">Quien recibe un </w:t>
      </w:r>
      <w:r>
        <w:rPr>
          <w:b/>
        </w:rPr>
        <w:t>préstamo</w:t>
      </w:r>
      <w:r>
        <w:t xml:space="preserve"> ve el curso completo, un aviso "Es un préstamo · Te lo prestó 0x…", y no tiene el botón de pasar el acceso.</w:t>
      </w:r>
    </w:p>
    <w:p>
      <w:pPr>
        <w:pStyle w:val="ListBullet"/>
        <w:spacing w:after="60"/>
      </w:pPr>
      <w:r>
        <w:t xml:space="preserve">Quien </w:t>
      </w:r>
      <w:r>
        <w:rPr>
          <w:b/>
        </w:rPr>
        <w:t>prestó</w:t>
      </w:r>
      <w:r>
        <w:t xml:space="preserve"> ve en "Mi acceso" la tarjeta del curso marcada "Prestado", con la dirección de la otra persona y el botón "Recuperar".</w:t>
      </w:r>
    </w:p>
    <w:p>
      <w:pPr>
        <w:pStyle w:val="ListBullet"/>
        <w:spacing w:after="60"/>
      </w:pPr>
      <w:r>
        <w:t xml:space="preserve">Quien </w:t>
      </w:r>
      <w:r>
        <w:rPr>
          <w:b/>
        </w:rPr>
        <w:t>recibe</w:t>
      </w:r>
      <w:r>
        <w:t xml:space="preserve"> en </w:t>
      </w:r>
      <w:r>
        <w:rPr>
          <w:rFonts w:ascii="Consolas" w:hAnsi="Consolas" w:eastAsia="Consolas"/>
          <w:sz w:val="20"/>
          <w:shd w:val="clear" w:color="auto" w:fill="EFE9DF"/>
        </w:rPr>
        <w:t>/recibir</w:t>
      </w:r>
      <w:r>
        <w:t xml:space="preserve"> no tiene que hacer nada: su pantalla consulta el contrato cada tres segundos y anuncia sola "¡Recibiste X!" cuando llega.</w:t>
      </w:r>
    </w:p>
    <w:p>
      <w:pPr>
        <w:spacing w:before="360" w:after="160"/>
        <w:keepNext/>
        <w:pBdr>
          <w:bottom w:val="single" w:sz="6" w:space="4" w:color="D9D2C7"/>
        </w:pBdr>
      </w:pPr>
      <w:r>
        <w:rPr>
          <w:rFonts w:ascii="Georgia" w:hAnsi="Georgia" w:eastAsia="Georgia"/>
          <w:b/>
          <w:color w:val="D4463C"/>
          <w:sz w:val="34"/>
        </w:rPr>
        <w:t>6. Cómo funciona por dentro</w:t>
      </w:r>
    </w:p>
    <w:p>
      <w:pPr>
        <w:keepNext/>
        <w:spacing w:before="240" w:after="100"/>
      </w:pPr>
      <w:r>
        <w:rPr>
          <w:rFonts w:ascii="Georgia" w:hAnsi="Georgia" w:eastAsia="Georgia"/>
          <w:b/>
          <w:color w:val="1A1512"/>
          <w:sz w:val="27"/>
        </w:rPr>
        <w:t>Unlock Protocol</w:t>
      </w:r>
    </w:p>
    <w:p>
      <w:pPr>
        <w:pStyle w:val="ListBullet"/>
        <w:spacing w:after="60"/>
      </w:pPr>
      <w:r>
        <w:rPr>
          <w:b/>
        </w:rPr>
        <w:t>Lock:</w:t>
      </w:r>
      <w:r>
        <w:t xml:space="preserve"> el contrato de una membresía. Define precio, duración y moneda. Uno por curso. Es un </w:t>
      </w:r>
      <w:r>
        <w:rPr>
          <w:rFonts w:ascii="Consolas" w:hAnsi="Consolas" w:eastAsia="Consolas"/>
          <w:sz w:val="20"/>
          <w:shd w:val="clear" w:color="auto" w:fill="EFE9DF"/>
        </w:rPr>
        <w:t>PublicLock</w:t>
      </w:r>
      <w:r>
        <w:t xml:space="preserve"> </w:t>
      </w:r>
      <w:r>
        <w:rPr>
          <w:b/>
        </w:rPr>
        <w:t>versión 14</w:t>
      </w:r>
      <w:r>
        <w:t>, desplegado desde el panel de Unlock. Qupuy no escribe Solidity: el bounty evalúa la integración, no el volumen de contrato propio.</w:t>
      </w:r>
    </w:p>
    <w:p>
      <w:pPr>
        <w:pStyle w:val="ListBullet"/>
        <w:spacing w:after="60"/>
      </w:pPr>
      <w:r>
        <w:rPr>
          <w:b/>
        </w:rPr>
        <w:t>Key:</w:t>
      </w:r>
      <w:r>
        <w:t xml:space="preserve"> el NFT (ERC-721) que representa la membresía de una wallet. Tiene fecha de vencimiento y se puede transferir.</w:t>
      </w:r>
    </w:p>
    <w:p>
      <w:pPr>
        <w:pStyle w:val="ListBullet"/>
        <w:spacing w:after="60"/>
      </w:pPr>
      <w:r>
        <w:rPr>
          <w:b/>
        </w:rPr>
        <w:t>Red:</w:t>
      </w:r>
      <w:r>
        <w:t xml:space="preserve"> Sepolia (testnet). Cambiar de red es añadir una entrada al registro de Locks, no reescribir la aplicación.</w:t>
      </w:r>
    </w:p>
    <w:p>
      <w:pPr>
        <w:keepNext/>
        <w:spacing w:before="240" w:after="100"/>
      </w:pPr>
      <w:r>
        <w:rPr>
          <w:rFonts w:ascii="Georgia" w:hAnsi="Georgia" w:eastAsia="Georgia"/>
          <w:b/>
          <w:color w:val="1A1512"/>
          <w:sz w:val="27"/>
        </w:rPr>
        <w:t>Qué decide el acceso</w:t>
      </w:r>
    </w:p>
    <w:p>
      <w:r>
        <w:rPr>
          <w:rFonts w:ascii="Consolas" w:hAnsi="Consolas" w:eastAsia="Consolas"/>
          <w:sz w:val="20"/>
          <w:shd w:val="clear" w:color="auto" w:fill="EFE9DF"/>
        </w:rPr>
        <w:t>getHasValidKey(wallet)</w:t>
      </w:r>
      <w:r>
        <w:t>. Es la única función cuyo significado es exactamente "esta wallet tiene acceso ahora": comprueba la expiración y ejecuta los hooks de validez del Lock.</w:t>
      </w:r>
    </w:p>
    <w:p>
      <w:r>
        <w:rPr>
          <w:b/>
        </w:rPr>
        <w:t>No</w:t>
      </w:r>
      <w:r>
        <w:t xml:space="preserve"> se usa </w:t>
      </w:r>
      <w:r>
        <w:rPr>
          <w:rFonts w:ascii="Consolas" w:hAnsi="Consolas" w:eastAsia="Consolas"/>
          <w:sz w:val="20"/>
          <w:shd w:val="clear" w:color="auto" w:fill="EFE9DF"/>
        </w:rPr>
        <w:t>balanceOf</w:t>
      </w:r>
      <w:r>
        <w:t xml:space="preserve"> para decidir el acceso. Su semántica ha cambiado entre versiones del PublicLock: en la v14 desplegada aquí solo cuenta keys válidas (recorre las keys de la wallet y llama a </w:t>
      </w:r>
      <w:r>
        <w:rPr>
          <w:rFonts w:ascii="Consolas" w:hAnsi="Consolas" w:eastAsia="Consolas"/>
          <w:sz w:val="20"/>
          <w:shd w:val="clear" w:color="auto" w:fill="EFE9DF"/>
        </w:rPr>
        <w:t>isValidKey</w:t>
      </w:r>
      <w:r>
        <w:t xml:space="preserve">); en versiones anteriores contaba todas. Apoyar el acceso en ella acoplaría la aplicación a la versión del contrato. Para saber si una wallet posee alguna key —vigente o vencida— y llegar a su </w:t>
      </w:r>
      <w:r>
        <w:rPr>
          <w:rFonts w:ascii="Consolas" w:hAnsi="Consolas" w:eastAsia="Consolas"/>
          <w:sz w:val="20"/>
          <w:shd w:val="clear" w:color="auto" w:fill="EFE9DF"/>
        </w:rPr>
        <w:t>tokenId</w:t>
      </w:r>
      <w:r>
        <w:t xml:space="preserve">, se usa </w:t>
      </w:r>
      <w:r>
        <w:rPr>
          <w:rFonts w:ascii="Consolas" w:hAnsi="Consolas" w:eastAsia="Consolas"/>
          <w:sz w:val="20"/>
          <w:shd w:val="clear" w:color="auto" w:fill="EFE9DF"/>
        </w:rPr>
        <w:t>totalKeys</w:t>
      </w:r>
      <w:r>
        <w:t>, que cuenta todas.</w:t>
      </w:r>
    </w:p>
    <w:p>
      <w:pPr>
        <w:keepNext/>
        <w:spacing w:before="240" w:after="100"/>
      </w:pPr>
      <w:r>
        <w:rPr>
          <w:rFonts w:ascii="Georgia" w:hAnsi="Georgia" w:eastAsia="Georgia"/>
          <w:b/>
          <w:color w:val="1A1512"/>
          <w:sz w:val="27"/>
        </w:rPr>
        <w:t>Dónde está el gating</w:t>
      </w:r>
    </w:p>
    <w:p>
      <w:pPr>
        <w:pStyle w:val="ListNumber"/>
        <w:spacing w:after="60"/>
      </w:pPr>
      <w:r>
        <w:rPr>
          <w:b/>
        </w:rPr>
        <w:t>En el render.</w:t>
      </w:r>
      <w:r>
        <w:t xml:space="preserve"> </w:t>
      </w:r>
      <w:r>
        <w:rPr>
          <w:rFonts w:ascii="Consolas" w:hAnsi="Consolas" w:eastAsia="Consolas"/>
          <w:sz w:val="20"/>
          <w:shd w:val="clear" w:color="auto" w:fill="EFE9DF"/>
        </w:rPr>
        <w:t>moduloReproducible = tieneAcceso ? moduloActivo : moduloGratuito</w:t>
      </w:r>
      <w:r>
        <w:t>. Sin membresía válida, ningún reproductor recibe una clase de pago y la lista no permite seleccionarlas. Se recalcula en cada render: si pasas tu acceso con el módulo 3 abierto, la vista vuelve al gratuito al instante.</w:t>
      </w:r>
    </w:p>
    <w:p>
      <w:pPr>
        <w:pStyle w:val="ListNumber"/>
        <w:spacing w:after="60"/>
      </w:pPr>
      <w:r>
        <w:rPr>
          <w:b/>
        </w:rPr>
        <w:t>En el servidor.</w:t>
      </w:r>
      <w:r>
        <w:t xml:space="preserve"> Las URLs de las clases de pago </w:t>
      </w:r>
      <w:r>
        <w:rPr>
          <w:b/>
        </w:rPr>
        <w:t>no viajan en la página</w:t>
      </w:r>
      <w:r>
        <w:t xml:space="preserve">. El servidor las quita antes de enviar el curso al navegador, y </w:t>
      </w:r>
      <w:r>
        <w:rPr>
          <w:rFonts w:ascii="Consolas" w:hAnsi="Consolas" w:eastAsia="Consolas"/>
          <w:sz w:val="20"/>
          <w:shd w:val="clear" w:color="auto" w:fill="EFE9DF"/>
        </w:rPr>
        <w:t>/api/clase/[id]</w:t>
      </w:r>
      <w:r>
        <w:t xml:space="preserve"> las entrega solo después de consultar </w:t>
      </w:r>
      <w:r>
        <w:rPr>
          <w:rFonts w:ascii="Consolas" w:hAnsi="Consolas" w:eastAsia="Consolas"/>
          <w:sz w:val="20"/>
          <w:shd w:val="clear" w:color="auto" w:fill="EFE9DF"/>
        </w:rPr>
        <w:t>getHasValidKey</w:t>
      </w:r>
      <w:r>
        <w:t xml:space="preserve"> en el Lock. Abrir el código fuente de un curso sin membresía no revela ninguna clase de pago — se puede comprobar con "ver código fuente".</w:t>
      </w:r>
    </w:p>
    <w:p>
      <w:pPr>
        <w:keepNext/>
        <w:spacing w:before="240" w:after="100"/>
      </w:pPr>
      <w:r>
        <w:rPr>
          <w:rFonts w:ascii="Georgia" w:hAnsi="Georgia" w:eastAsia="Georgia"/>
          <w:b/>
          <w:color w:val="1A1512"/>
          <w:sz w:val="27"/>
        </w:rPr>
        <w:t>El linaje</w:t>
      </w:r>
    </w:p>
    <w:p>
      <w:r>
        <w:t xml:space="preserve">Cada compra y cada transferencia emite un evento </w:t>
      </w:r>
      <w:r>
        <w:rPr>
          <w:rFonts w:ascii="Consolas" w:hAnsi="Consolas" w:eastAsia="Consolas"/>
          <w:sz w:val="20"/>
          <w:shd w:val="clear" w:color="auto" w:fill="EFE9DF"/>
        </w:rPr>
        <w:t>Transfer</w:t>
      </w:r>
      <w:r>
        <w:t xml:space="preserve"> en el Lock. Qupuy los lee y reconstruye la historia: el primero de cada key sale de la dirección cero (la compra); los siguientes son manos reales. Quien todavía no compró ve la actividad del curso ("3 accesos vendidos · ya circuló una vez"); quien lo tiene ve el recorrido de su propio acceso.</w:t>
      </w:r>
    </w:p>
    <w:p>
      <w:pPr>
        <w:keepNext/>
        <w:spacing w:before="240" w:after="100"/>
      </w:pPr>
      <w:r>
        <w:rPr>
          <w:rFonts w:ascii="Georgia" w:hAnsi="Georgia" w:eastAsia="Georgia"/>
          <w:b/>
          <w:color w:val="1A1512"/>
          <w:sz w:val="27"/>
        </w:rPr>
        <w:t>Las funciones del Lock que usa Qupuy</w:t>
      </w:r>
    </w:p>
    <w:tbl>
      <w:tblPr>
        <w:tblStyle w:val="TableGrid"/>
        <w:tblW w:type="auto" w:w="0"/>
        <w:tblLayout w:type="autofit"/>
        <w:tblLook w:firstColumn="1" w:firstRow="1" w:lastColumn="0" w:lastRow="0" w:noHBand="0" w:noVBand="1" w:val="04A0"/>
        <w:tblBorders>
          <w:top w:val="single" w:sz="4" w:color="D9D2C7"/>
          <w:left w:val="single" w:sz="4" w:color="D9D2C7"/>
          <w:bottom w:val="single" w:sz="4" w:color="D9D2C7"/>
          <w:right w:val="single" w:sz="4" w:color="D9D2C7"/>
          <w:insideH w:val="single" w:sz="4" w:color="D9D2C7"/>
          <w:insideV w:val="single" w:sz="4" w:color="D9D2C7"/>
        </w:tblBorders>
      </w:tblPr>
      <w:tblGrid>
        <w:gridCol w:w="4752"/>
        <w:gridCol w:w="4752"/>
      </w:tblGrid>
      <w:tr>
        <w:tc>
          <w:tcPr>
            <w:tcW w:type="dxa" w:w="4752"/>
            <w:shd w:val="clear" w:color="auto" w:fill="F2EDE4"/>
          </w:tcPr>
          <w:p>
            <w:pPr>
              <w:spacing w:after="0"/>
            </w:pPr>
            <w:r/>
            <w:r>
              <w:rPr>
                <w:b/>
                <w:color w:val="7A7066"/>
                <w:sz w:val="19"/>
              </w:rPr>
              <w:t>Función</w:t>
            </w:r>
          </w:p>
        </w:tc>
        <w:tc>
          <w:tcPr>
            <w:tcW w:type="dxa" w:w="4752"/>
            <w:shd w:val="clear" w:color="auto" w:fill="F2EDE4"/>
          </w:tcPr>
          <w:p>
            <w:pPr>
              <w:spacing w:after="0"/>
            </w:pPr>
            <w:r/>
            <w:r>
              <w:rPr>
                <w:b/>
                <w:color w:val="7A7066"/>
                <w:sz w:val="19"/>
              </w:rPr>
              <w:t>Para qué</w:t>
            </w:r>
          </w:p>
        </w:tc>
      </w:tr>
      <w:tr>
        <w:tc>
          <w:tcPr>
            <w:tcW w:type="dxa" w:w="4752"/>
          </w:tcPr>
          <w:p>
            <w:pPr>
              <w:spacing w:after="0"/>
            </w:pPr>
            <w:r/>
            <w:r>
              <w:rPr>
                <w:rFonts w:ascii="Consolas" w:hAnsi="Consolas" w:eastAsia="Consolas"/>
                <w:sz w:val="18"/>
                <w:shd w:val="clear" w:color="auto" w:fill="EFE9DF"/>
              </w:rPr>
              <w:t>getHasValidKey</w:t>
            </w:r>
          </w:p>
        </w:tc>
        <w:tc>
          <w:tcPr>
            <w:tcW w:type="dxa" w:w="4752"/>
          </w:tcPr>
          <w:p>
            <w:pPr>
              <w:spacing w:after="0"/>
            </w:pPr>
            <w:r/>
            <w:r>
              <w:rPr>
                <w:sz w:val="20"/>
              </w:rPr>
              <w:t>Decidir el acceso, en el cliente y en el servidor</w:t>
            </w:r>
          </w:p>
        </w:tc>
      </w:tr>
      <w:tr>
        <w:tc>
          <w:tcPr>
            <w:tcW w:type="dxa" w:w="4752"/>
          </w:tcPr>
          <w:p>
            <w:pPr>
              <w:spacing w:after="0"/>
            </w:pPr>
            <w:r/>
            <w:r>
              <w:rPr>
                <w:rFonts w:ascii="Consolas" w:hAnsi="Consolas" w:eastAsia="Consolas"/>
                <w:sz w:val="18"/>
                <w:shd w:val="clear" w:color="auto" w:fill="EFE9DF"/>
              </w:rPr>
              <w:t>totalKeys</w:t>
            </w:r>
            <w:r>
              <w:rPr>
                <w:sz w:val="20"/>
              </w:rPr>
              <w:t xml:space="preserve">, </w:t>
            </w:r>
            <w:r>
              <w:rPr>
                <w:rFonts w:ascii="Consolas" w:hAnsi="Consolas" w:eastAsia="Consolas"/>
                <w:sz w:val="18"/>
                <w:shd w:val="clear" w:color="auto" w:fill="EFE9DF"/>
              </w:rPr>
              <w:t>tokenOfOwnerByIndex</w:t>
            </w:r>
          </w:p>
        </w:tc>
        <w:tc>
          <w:tcPr>
            <w:tcW w:type="dxa" w:w="4752"/>
          </w:tcPr>
          <w:p>
            <w:pPr>
              <w:spacing w:after="0"/>
            </w:pPr>
            <w:r/>
            <w:r>
              <w:rPr>
                <w:sz w:val="20"/>
              </w:rPr>
              <w:t>Llegar al tokenId de la key, vigente o vencida</w:t>
            </w:r>
          </w:p>
        </w:tc>
      </w:tr>
      <w:tr>
        <w:tc>
          <w:tcPr>
            <w:tcW w:type="dxa" w:w="4752"/>
          </w:tcPr>
          <w:p>
            <w:pPr>
              <w:spacing w:after="0"/>
            </w:pPr>
            <w:r/>
            <w:r>
              <w:rPr>
                <w:rFonts w:ascii="Consolas" w:hAnsi="Consolas" w:eastAsia="Consolas"/>
                <w:sz w:val="18"/>
                <w:shd w:val="clear" w:color="auto" w:fill="EFE9DF"/>
              </w:rPr>
              <w:t>keyExpirationTimestampFor</w:t>
            </w:r>
          </w:p>
        </w:tc>
        <w:tc>
          <w:tcPr>
            <w:tcW w:type="dxa" w:w="4752"/>
          </w:tcPr>
          <w:p>
            <w:pPr>
              <w:spacing w:after="0"/>
            </w:pPr>
            <w:r/>
            <w:r>
              <w:rPr>
                <w:sz w:val="20"/>
              </w:rPr>
              <w:t>Días restantes</w:t>
            </w:r>
          </w:p>
        </w:tc>
      </w:tr>
      <w:tr>
        <w:tc>
          <w:tcPr>
            <w:tcW w:type="dxa" w:w="4752"/>
          </w:tcPr>
          <w:p>
            <w:pPr>
              <w:spacing w:after="0"/>
            </w:pPr>
            <w:r/>
            <w:r>
              <w:rPr>
                <w:rFonts w:ascii="Consolas" w:hAnsi="Consolas" w:eastAsia="Consolas"/>
                <w:sz w:val="18"/>
                <w:shd w:val="clear" w:color="auto" w:fill="EFE9DF"/>
              </w:rPr>
              <w:t>keyManagerOf</w:t>
            </w:r>
          </w:p>
        </w:tc>
        <w:tc>
          <w:tcPr>
            <w:tcW w:type="dxa" w:w="4752"/>
          </w:tcPr>
          <w:p>
            <w:pPr>
              <w:spacing w:after="0"/>
            </w:pPr>
            <w:r/>
            <w:r>
              <w:rPr>
                <w:sz w:val="20"/>
              </w:rPr>
              <w:t>Saber si un acceso es un préstamo</w:t>
            </w:r>
          </w:p>
        </w:tc>
      </w:tr>
      <w:tr>
        <w:tc>
          <w:tcPr>
            <w:tcW w:type="dxa" w:w="4752"/>
          </w:tcPr>
          <w:p>
            <w:pPr>
              <w:spacing w:after="0"/>
            </w:pPr>
            <w:r/>
            <w:r>
              <w:rPr>
                <w:rFonts w:ascii="Consolas" w:hAnsi="Consolas" w:eastAsia="Consolas"/>
                <w:sz w:val="18"/>
                <w:shd w:val="clear" w:color="auto" w:fill="EFE9DF"/>
              </w:rPr>
              <w:t>purchasePriceFor</w:t>
            </w:r>
            <w:r>
              <w:rPr>
                <w:sz w:val="20"/>
              </w:rPr>
              <w:t xml:space="preserve">, </w:t>
            </w:r>
            <w:r>
              <w:rPr>
                <w:rFonts w:ascii="Consolas" w:hAnsi="Consolas" w:eastAsia="Consolas"/>
                <w:sz w:val="18"/>
                <w:shd w:val="clear" w:color="auto" w:fill="EFE9DF"/>
              </w:rPr>
              <w:t>keyPrice</w:t>
            </w:r>
          </w:p>
        </w:tc>
        <w:tc>
          <w:tcPr>
            <w:tcW w:type="dxa" w:w="4752"/>
          </w:tcPr>
          <w:p>
            <w:pPr>
              <w:spacing w:after="0"/>
            </w:pPr>
            <w:r/>
            <w:r>
              <w:rPr>
                <w:sz w:val="20"/>
              </w:rPr>
              <w:t>El precio</w:t>
            </w:r>
          </w:p>
        </w:tc>
      </w:tr>
      <w:tr>
        <w:tc>
          <w:tcPr>
            <w:tcW w:type="dxa" w:w="4752"/>
          </w:tcPr>
          <w:p>
            <w:pPr>
              <w:spacing w:after="0"/>
            </w:pPr>
            <w:r/>
            <w:r>
              <w:rPr>
                <w:rFonts w:ascii="Consolas" w:hAnsi="Consolas" w:eastAsia="Consolas"/>
                <w:sz w:val="18"/>
                <w:shd w:val="clear" w:color="auto" w:fill="EFE9DF"/>
              </w:rPr>
              <w:t>expirationDuration</w:t>
            </w:r>
            <w:r>
              <w:rPr>
                <w:sz w:val="20"/>
              </w:rPr>
              <w:t xml:space="preserve">, </w:t>
            </w:r>
            <w:r>
              <w:rPr>
                <w:rFonts w:ascii="Consolas" w:hAnsi="Consolas" w:eastAsia="Consolas"/>
                <w:sz w:val="18"/>
                <w:shd w:val="clear" w:color="auto" w:fill="EFE9DF"/>
              </w:rPr>
              <w:t>tokenAddress</w:t>
            </w:r>
          </w:p>
        </w:tc>
        <w:tc>
          <w:tcPr>
            <w:tcW w:type="dxa" w:w="4752"/>
          </w:tcPr>
          <w:p>
            <w:pPr>
              <w:spacing w:after="0"/>
            </w:pPr>
            <w:r/>
            <w:r>
              <w:rPr>
                <w:sz w:val="20"/>
              </w:rPr>
              <w:t>Duración y moneda del Lock</w:t>
            </w:r>
          </w:p>
        </w:tc>
      </w:tr>
      <w:tr>
        <w:tc>
          <w:tcPr>
            <w:tcW w:type="dxa" w:w="4752"/>
          </w:tcPr>
          <w:p>
            <w:pPr>
              <w:spacing w:after="0"/>
            </w:pPr>
            <w:r/>
            <w:r>
              <w:rPr>
                <w:rFonts w:ascii="Consolas" w:hAnsi="Consolas" w:eastAsia="Consolas"/>
                <w:sz w:val="18"/>
                <w:shd w:val="clear" w:color="auto" w:fill="EFE9DF"/>
              </w:rPr>
              <w:t>purchase</w:t>
            </w:r>
          </w:p>
        </w:tc>
        <w:tc>
          <w:tcPr>
            <w:tcW w:type="dxa" w:w="4752"/>
          </w:tcPr>
          <w:p>
            <w:pPr>
              <w:spacing w:after="0"/>
            </w:pPr>
            <w:r/>
            <w:r>
              <w:rPr>
                <w:sz w:val="20"/>
              </w:rPr>
              <w:t>Comprar</w:t>
            </w:r>
          </w:p>
        </w:tc>
      </w:tr>
      <w:tr>
        <w:tc>
          <w:tcPr>
            <w:tcW w:type="dxa" w:w="4752"/>
          </w:tcPr>
          <w:p>
            <w:pPr>
              <w:spacing w:after="0"/>
            </w:pPr>
            <w:r/>
            <w:r>
              <w:rPr>
                <w:rFonts w:ascii="Consolas" w:hAnsi="Consolas" w:eastAsia="Consolas"/>
                <w:sz w:val="18"/>
                <w:shd w:val="clear" w:color="auto" w:fill="EFE9DF"/>
              </w:rPr>
              <w:t>extend</w:t>
            </w:r>
          </w:p>
        </w:tc>
        <w:tc>
          <w:tcPr>
            <w:tcW w:type="dxa" w:w="4752"/>
          </w:tcPr>
          <w:p>
            <w:pPr>
              <w:spacing w:after="0"/>
            </w:pPr>
            <w:r/>
            <w:r>
              <w:rPr>
                <w:sz w:val="20"/>
              </w:rPr>
              <w:t>Renovar una key vencida</w:t>
            </w:r>
          </w:p>
        </w:tc>
      </w:tr>
      <w:tr>
        <w:tc>
          <w:tcPr>
            <w:tcW w:type="dxa" w:w="4752"/>
          </w:tcPr>
          <w:p>
            <w:pPr>
              <w:spacing w:after="0"/>
            </w:pPr>
            <w:r/>
            <w:r>
              <w:rPr>
                <w:rFonts w:ascii="Consolas" w:hAnsi="Consolas" w:eastAsia="Consolas"/>
                <w:sz w:val="18"/>
                <w:shd w:val="clear" w:color="auto" w:fill="EFE9DF"/>
              </w:rPr>
              <w:t>transferFrom</w:t>
            </w:r>
          </w:p>
        </w:tc>
        <w:tc>
          <w:tcPr>
            <w:tcW w:type="dxa" w:w="4752"/>
          </w:tcPr>
          <w:p>
            <w:pPr>
              <w:spacing w:after="0"/>
            </w:pPr>
            <w:r/>
            <w:r>
              <w:rPr>
                <w:sz w:val="20"/>
              </w:rPr>
              <w:t>Regalar</w:t>
            </w:r>
          </w:p>
        </w:tc>
      </w:tr>
      <w:tr>
        <w:tc>
          <w:tcPr>
            <w:tcW w:type="dxa" w:w="4752"/>
          </w:tcPr>
          <w:p>
            <w:pPr>
              <w:spacing w:after="0"/>
            </w:pPr>
            <w:r/>
            <w:r>
              <w:rPr>
                <w:rFonts w:ascii="Consolas" w:hAnsi="Consolas" w:eastAsia="Consolas"/>
                <w:sz w:val="18"/>
                <w:shd w:val="clear" w:color="auto" w:fill="EFE9DF"/>
              </w:rPr>
              <w:t>lendKey</w:t>
            </w:r>
            <w:r>
              <w:rPr>
                <w:sz w:val="20"/>
              </w:rPr>
              <w:t xml:space="preserve">, </w:t>
            </w:r>
            <w:r>
              <w:rPr>
                <w:rFonts w:ascii="Consolas" w:hAnsi="Consolas" w:eastAsia="Consolas"/>
                <w:sz w:val="18"/>
                <w:shd w:val="clear" w:color="auto" w:fill="EFE9DF"/>
              </w:rPr>
              <w:t>unlendKey</w:t>
            </w:r>
          </w:p>
        </w:tc>
        <w:tc>
          <w:tcPr>
            <w:tcW w:type="dxa" w:w="4752"/>
          </w:tcPr>
          <w:p>
            <w:pPr>
              <w:spacing w:after="0"/>
            </w:pPr>
            <w:r/>
            <w:r>
              <w:rPr>
                <w:sz w:val="20"/>
              </w:rPr>
              <w:t>Prestar y recuperar</w:t>
            </w:r>
          </w:p>
        </w:tc>
      </w:tr>
      <w:tr>
        <w:tc>
          <w:tcPr>
            <w:tcW w:type="dxa" w:w="4752"/>
          </w:tcPr>
          <w:p>
            <w:pPr>
              <w:spacing w:after="0"/>
            </w:pPr>
            <w:r/>
            <w:r>
              <w:rPr>
                <w:rFonts w:ascii="Consolas" w:hAnsi="Consolas" w:eastAsia="Consolas"/>
                <w:sz w:val="18"/>
                <w:shd w:val="clear" w:color="auto" w:fill="EFE9DF"/>
              </w:rPr>
              <w:t>totalSupply</w:t>
            </w:r>
            <w:r>
              <w:rPr>
                <w:sz w:val="20"/>
              </w:rPr>
              <w:t xml:space="preserve">, evento </w:t>
            </w:r>
            <w:r>
              <w:rPr>
                <w:rFonts w:ascii="Consolas" w:hAnsi="Consolas" w:eastAsia="Consolas"/>
                <w:sz w:val="18"/>
                <w:shd w:val="clear" w:color="auto" w:fill="EFE9DF"/>
              </w:rPr>
              <w:t>Transfer</w:t>
            </w:r>
          </w:p>
        </w:tc>
        <w:tc>
          <w:tcPr>
            <w:tcW w:type="dxa" w:w="4752"/>
          </w:tcPr>
          <w:p>
            <w:pPr>
              <w:spacing w:after="0"/>
            </w:pPr>
            <w:r/>
            <w:r>
              <w:rPr>
                <w:sz w:val="20"/>
              </w:rPr>
              <w:t>Accesos vendidos y linaje</w:t>
            </w:r>
          </w:p>
        </w:tc>
      </w:tr>
    </w:tbl>
    <w:p>
      <w:pPr>
        <w:spacing w:after="80"/>
      </w:pPr>
    </w:p>
    <w:p>
      <w:pPr>
        <w:keepNext/>
        <w:spacing w:before="240" w:after="100"/>
      </w:pPr>
      <w:r>
        <w:rPr>
          <w:rFonts w:ascii="Georgia" w:hAnsi="Georgia" w:eastAsia="Georgia"/>
          <w:b/>
          <w:color w:val="1A1512"/>
          <w:sz w:val="27"/>
        </w:rPr>
        <w:t>Seguridad de las transacciones</w:t>
      </w:r>
    </w:p>
    <w:p>
      <w:r>
        <w:t xml:space="preserve">Cada escritura se </w:t>
      </w:r>
      <w:r>
        <w:rPr>
          <w:b/>
        </w:rPr>
        <w:t>simula</w:t>
      </w:r>
      <w:r>
        <w:t xml:space="preserve"> antes de pedir la firma: si el contrato la va a rechazar, la persona lo sabe sin gastar gas. Se fija un techo de gas explícito. Se comprueba el recibo de la transacción antes de dar nada por hecho. Y el </w:t>
      </w:r>
      <w:r>
        <w:rPr>
          <w:rFonts w:ascii="Consolas" w:hAnsi="Consolas" w:eastAsia="Consolas"/>
          <w:sz w:val="20"/>
          <w:shd w:val="clear" w:color="auto" w:fill="EFE9DF"/>
        </w:rPr>
        <w:t>chainId</w:t>
      </w:r>
      <w:r>
        <w:t xml:space="preserve"> del Lock viaja en cada transacción: si la wallet está en otra red, wagmi rechaza la firma en lugar de enviarla donde esté, y la interfaz ofrece el cambio de red.</w:t>
      </w:r>
    </w:p>
    <w:p>
      <w:pPr>
        <w:spacing w:before="360" w:after="160"/>
        <w:keepNext/>
        <w:pBdr>
          <w:bottom w:val="single" w:sz="6" w:space="4" w:color="D9D2C7"/>
        </w:pBdr>
      </w:pPr>
      <w:r>
        <w:rPr>
          <w:rFonts w:ascii="Georgia" w:hAnsi="Georgia" w:eastAsia="Georgia"/>
          <w:b/>
          <w:color w:val="D4463C"/>
          <w:sz w:val="34"/>
        </w:rPr>
        <w:t>7. Lo que está verificado</w:t>
      </w:r>
    </w:p>
    <w:tbl>
      <w:tblPr>
        <w:tblStyle w:val="TableGrid"/>
        <w:tblW w:type="auto" w:w="0"/>
        <w:tblLayout w:type="autofit"/>
        <w:tblLook w:firstColumn="1" w:firstRow="1" w:lastColumn="0" w:lastRow="0" w:noHBand="0" w:noVBand="1" w:val="04A0"/>
        <w:tblBorders>
          <w:top w:val="single" w:sz="4" w:color="D9D2C7"/>
          <w:left w:val="single" w:sz="4" w:color="D9D2C7"/>
          <w:bottom w:val="single" w:sz="4" w:color="D9D2C7"/>
          <w:right w:val="single" w:sz="4" w:color="D9D2C7"/>
          <w:insideH w:val="single" w:sz="4" w:color="D9D2C7"/>
          <w:insideV w:val="single" w:sz="4" w:color="D9D2C7"/>
        </w:tblBorders>
      </w:tblPr>
      <w:tblGrid>
        <w:gridCol w:w="4752"/>
        <w:gridCol w:w="4752"/>
      </w:tblGrid>
      <w:tr>
        <w:tc>
          <w:tcPr>
            <w:tcW w:type="dxa" w:w="4752"/>
            <w:shd w:val="clear" w:color="auto" w:fill="F2EDE4"/>
          </w:tcPr>
          <w:p>
            <w:pPr>
              <w:spacing w:after="0"/>
            </w:pPr>
            <w:r/>
            <w:r>
              <w:rPr>
                <w:b/>
                <w:color w:val="7A7066"/>
                <w:sz w:val="19"/>
              </w:rPr>
              <w:t>Qué</w:t>
            </w:r>
          </w:p>
        </w:tc>
        <w:tc>
          <w:tcPr>
            <w:tcW w:type="dxa" w:w="4752"/>
            <w:shd w:val="clear" w:color="auto" w:fill="F2EDE4"/>
          </w:tcPr>
          <w:p>
            <w:pPr>
              <w:spacing w:after="0"/>
            </w:pPr>
            <w:r/>
            <w:r>
              <w:rPr>
                <w:b/>
                <w:color w:val="7A7066"/>
                <w:sz w:val="19"/>
              </w:rPr>
              <w:t>Dónde</w:t>
            </w:r>
          </w:p>
        </w:tc>
      </w:tr>
      <w:tr>
        <w:tc>
          <w:tcPr>
            <w:tcW w:type="dxa" w:w="4752"/>
          </w:tcPr>
          <w:p>
            <w:pPr>
              <w:spacing w:after="0"/>
            </w:pPr>
            <w:r/>
            <w:r>
              <w:rPr>
                <w:sz w:val="20"/>
              </w:rPr>
              <w:t>Tres Locks desplegados, v14, ETH nativo, 30 días, transferibles</w:t>
            </w:r>
          </w:p>
        </w:tc>
        <w:tc>
          <w:tcPr>
            <w:tcW w:type="dxa" w:w="4752"/>
          </w:tcPr>
          <w:p>
            <w:pPr>
              <w:spacing w:after="0"/>
            </w:pPr>
            <w:r/>
            <w:r>
              <w:rPr>
                <w:sz w:val="20"/>
              </w:rPr>
              <w:t>Sepolia; direcciones en el README</w:t>
            </w:r>
          </w:p>
        </w:tc>
      </w:tr>
      <w:tr>
        <w:tc>
          <w:tcPr>
            <w:tcW w:type="dxa" w:w="4752"/>
          </w:tcPr>
          <w:p>
            <w:pPr>
              <w:spacing w:after="0"/>
            </w:pPr>
            <w:r/>
            <w:r>
              <w:rPr>
                <w:sz w:val="20"/>
              </w:rPr>
              <w:t>Compra de "Inglés desde cero"</w:t>
            </w:r>
          </w:p>
        </w:tc>
        <w:tc>
          <w:tcPr>
            <w:tcW w:type="dxa" w:w="4752"/>
          </w:tcPr>
          <w:p>
            <w:pPr>
              <w:spacing w:after="0"/>
            </w:pPr>
            <w:r/>
            <w:r>
              <w:rPr>
                <w:sz w:val="20"/>
              </w:rPr>
              <w:t>bloque 11 691 183</w:t>
            </w:r>
          </w:p>
        </w:tc>
      </w:tr>
      <w:tr>
        <w:tc>
          <w:tcPr>
            <w:tcW w:type="dxa" w:w="4752"/>
          </w:tcPr>
          <w:p>
            <w:pPr>
              <w:spacing w:after="0"/>
            </w:pPr>
            <w:r/>
            <w:r>
              <w:rPr>
                <w:sz w:val="20"/>
              </w:rPr>
              <w:t>Compra de "Reparación de celulares"</w:t>
            </w:r>
          </w:p>
        </w:tc>
        <w:tc>
          <w:tcPr>
            <w:tcW w:type="dxa" w:w="4752"/>
          </w:tcPr>
          <w:p>
            <w:pPr>
              <w:spacing w:after="0"/>
            </w:pPr>
            <w:r/>
            <w:r>
              <w:rPr>
                <w:sz w:val="20"/>
              </w:rPr>
              <w:t>bloque 11 693 688</w:t>
            </w:r>
          </w:p>
        </w:tc>
      </w:tr>
      <w:tr>
        <w:tc>
          <w:tcPr>
            <w:tcW w:type="dxa" w:w="4752"/>
          </w:tcPr>
          <w:p>
            <w:pPr>
              <w:spacing w:after="0"/>
            </w:pPr>
            <w:r/>
            <w:r>
              <w:rPr>
                <w:b/>
                <w:sz w:val="20"/>
              </w:rPr>
              <w:t>Transferencia del acceso</w:t>
            </w:r>
            <w:r>
              <w:rPr>
                <w:sz w:val="20"/>
              </w:rPr>
              <w:t>, escaneando un QR</w:t>
            </w:r>
          </w:p>
        </w:tc>
        <w:tc>
          <w:tcPr>
            <w:tcW w:type="dxa" w:w="4752"/>
          </w:tcPr>
          <w:p>
            <w:pPr>
              <w:spacing w:after="0"/>
            </w:pPr>
            <w:r/>
            <w:r>
              <w:rPr>
                <w:sz w:val="20"/>
              </w:rPr>
              <w:t>bloque 11 694 004</w:t>
            </w:r>
          </w:p>
        </w:tc>
      </w:tr>
      <w:tr>
        <w:tc>
          <w:tcPr>
            <w:tcW w:type="dxa" w:w="4752"/>
          </w:tcPr>
          <w:p>
            <w:pPr>
              <w:spacing w:after="0"/>
            </w:pPr>
            <w:r/>
            <w:r>
              <w:rPr>
                <w:sz w:val="20"/>
              </w:rPr>
              <w:t xml:space="preserve">Tras la transferencia, </w:t>
            </w:r>
            <w:r>
              <w:rPr>
                <w:rFonts w:ascii="Consolas" w:hAnsi="Consolas" w:eastAsia="Consolas"/>
                <w:sz w:val="18"/>
                <w:shd w:val="clear" w:color="auto" w:fill="EFE9DF"/>
              </w:rPr>
              <w:t>getHasValidKey</w:t>
            </w:r>
            <w:r>
              <w:rPr>
                <w:sz w:val="20"/>
              </w:rPr>
              <w:t xml:space="preserve"> = </w:t>
            </w:r>
            <w:r>
              <w:rPr>
                <w:rFonts w:ascii="Consolas" w:hAnsi="Consolas" w:eastAsia="Consolas"/>
                <w:sz w:val="18"/>
                <w:shd w:val="clear" w:color="auto" w:fill="EFE9DF"/>
              </w:rPr>
              <w:t>false</w:t>
            </w:r>
            <w:r>
              <w:rPr>
                <w:sz w:val="20"/>
              </w:rPr>
              <w:t xml:space="preserve"> para quien pasó y </w:t>
            </w:r>
            <w:r>
              <w:rPr>
                <w:rFonts w:ascii="Consolas" w:hAnsi="Consolas" w:eastAsia="Consolas"/>
                <w:sz w:val="18"/>
                <w:shd w:val="clear" w:color="auto" w:fill="EFE9DF"/>
              </w:rPr>
              <w:t>true</w:t>
            </w:r>
            <w:r>
              <w:rPr>
                <w:sz w:val="20"/>
              </w:rPr>
              <w:t xml:space="preserve"> para quien recibió</w:t>
            </w:r>
          </w:p>
        </w:tc>
        <w:tc>
          <w:tcPr>
            <w:tcW w:type="dxa" w:w="4752"/>
          </w:tcPr>
          <w:p>
            <w:pPr>
              <w:spacing w:after="0"/>
            </w:pPr>
            <w:r/>
            <w:r>
              <w:rPr>
                <w:rFonts w:ascii="Consolas" w:hAnsi="Consolas" w:eastAsia="Consolas"/>
                <w:sz w:val="18"/>
                <w:shd w:val="clear" w:color="auto" w:fill="EFE9DF"/>
              </w:rPr>
              <w:t>/debug</w:t>
            </w:r>
          </w:p>
        </w:tc>
      </w:tr>
      <w:tr>
        <w:tc>
          <w:tcPr>
            <w:tcW w:type="dxa" w:w="4752"/>
          </w:tcPr>
          <w:p>
            <w:pPr>
              <w:spacing w:after="0"/>
            </w:pPr>
            <w:r/>
            <w:r>
              <w:rPr>
                <w:rFonts w:ascii="Consolas" w:hAnsi="Consolas" w:eastAsia="Consolas"/>
                <w:sz w:val="18"/>
                <w:shd w:val="clear" w:color="auto" w:fill="EFE9DF"/>
              </w:rPr>
              <w:t>lendKey</w:t>
            </w:r>
            <w:r>
              <w:rPr>
                <w:sz w:val="20"/>
              </w:rPr>
              <w:t xml:space="preserve">, </w:t>
            </w:r>
            <w:r>
              <w:rPr>
                <w:rFonts w:ascii="Consolas" w:hAnsi="Consolas" w:eastAsia="Consolas"/>
                <w:sz w:val="18"/>
                <w:shd w:val="clear" w:color="auto" w:fill="EFE9DF"/>
              </w:rPr>
              <w:t>transferFrom</w:t>
            </w:r>
            <w:r>
              <w:rPr>
                <w:sz w:val="20"/>
              </w:rPr>
              <w:t xml:space="preserve">, </w:t>
            </w:r>
            <w:r>
              <w:rPr>
                <w:rFonts w:ascii="Consolas" w:hAnsi="Consolas" w:eastAsia="Consolas"/>
                <w:sz w:val="18"/>
                <w:shd w:val="clear" w:color="auto" w:fill="EFE9DF"/>
              </w:rPr>
              <w:t>extend</w:t>
            </w:r>
            <w:r>
              <w:rPr>
                <w:sz w:val="20"/>
              </w:rPr>
              <w:t xml:space="preserve"> simulados desde la wallet del dev contra el Lock real</w:t>
            </w:r>
          </w:p>
        </w:tc>
        <w:tc>
          <w:tcPr>
            <w:tcW w:type="dxa" w:w="4752"/>
          </w:tcPr>
          <w:p>
            <w:pPr>
              <w:spacing w:after="0"/>
            </w:pPr>
            <w:r/>
            <w:r>
              <w:rPr>
                <w:sz w:val="20"/>
              </w:rPr>
              <w:t>sin firmar, pasan</w:t>
            </w:r>
          </w:p>
        </w:tc>
      </w:tr>
      <w:tr>
        <w:tc>
          <w:tcPr>
            <w:tcW w:type="dxa" w:w="4752"/>
          </w:tcPr>
          <w:p>
            <w:pPr>
              <w:spacing w:after="0"/>
            </w:pPr>
            <w:r/>
            <w:r>
              <w:rPr>
                <w:sz w:val="20"/>
              </w:rPr>
              <w:t>La página de un curso sin wallet no contiene ninguna URL de pago</w:t>
            </w:r>
          </w:p>
        </w:tc>
        <w:tc>
          <w:tcPr>
            <w:tcW w:type="dxa" w:w="4752"/>
          </w:tcPr>
          <w:p>
            <w:pPr>
              <w:spacing w:after="0"/>
            </w:pPr>
            <w:r/>
            <w:r>
              <w:rPr>
                <w:rFonts w:ascii="Consolas" w:hAnsi="Consolas" w:eastAsia="Consolas"/>
                <w:sz w:val="18"/>
                <w:shd w:val="clear" w:color="auto" w:fill="EFE9DF"/>
              </w:rPr>
              <w:t>curl</w:t>
            </w:r>
            <w:r>
              <w:rPr>
                <w:sz w:val="20"/>
              </w:rPr>
              <w:t xml:space="preserve"> en producción: 0</w:t>
            </w:r>
          </w:p>
        </w:tc>
      </w:tr>
      <w:tr>
        <w:tc>
          <w:tcPr>
            <w:tcW w:type="dxa" w:w="4752"/>
          </w:tcPr>
          <w:p>
            <w:pPr>
              <w:spacing w:after="0"/>
            </w:pPr>
            <w:r/>
            <w:r>
              <w:rPr>
                <w:rFonts w:ascii="Consolas" w:hAnsi="Consolas" w:eastAsia="Consolas"/>
                <w:sz w:val="18"/>
                <w:shd w:val="clear" w:color="auto" w:fill="EFE9DF"/>
              </w:rPr>
              <w:t>/api/clase/1-2</w:t>
            </w:r>
            <w:r>
              <w:rPr>
                <w:sz w:val="20"/>
              </w:rPr>
              <w:t xml:space="preserve"> responde 200 con membresía, 403 sin ella</w:t>
            </w:r>
          </w:p>
        </w:tc>
        <w:tc>
          <w:tcPr>
            <w:tcW w:type="dxa" w:w="4752"/>
          </w:tcPr>
          <w:p>
            <w:pPr>
              <w:spacing w:after="0"/>
            </w:pPr>
            <w:r/>
            <w:r>
              <w:rPr>
                <w:sz w:val="20"/>
              </w:rPr>
              <w:t>producción</w:t>
            </w:r>
          </w:p>
        </w:tc>
      </w:tr>
      <w:tr>
        <w:tc>
          <w:tcPr>
            <w:tcW w:type="dxa" w:w="4752"/>
          </w:tcPr>
          <w:p>
            <w:pPr>
              <w:spacing w:after="0"/>
            </w:pPr>
            <w:r/>
            <w:r>
              <w:rPr>
                <w:sz w:val="20"/>
              </w:rPr>
              <w:t>23 tests de lógica, lint, tipos y build en verde</w:t>
            </w:r>
          </w:p>
        </w:tc>
        <w:tc>
          <w:tcPr>
            <w:tcW w:type="dxa" w:w="4752"/>
          </w:tcPr>
          <w:p>
            <w:pPr>
              <w:spacing w:after="0"/>
            </w:pPr>
            <w:r/>
            <w:r>
              <w:rPr>
                <w:sz w:val="20"/>
              </w:rPr>
              <w:t>repo</w:t>
            </w:r>
          </w:p>
        </w:tc>
      </w:tr>
    </w:tbl>
    <w:p>
      <w:pPr>
        <w:spacing w:after="80"/>
      </w:pPr>
    </w:p>
    <w:p>
      <w:r>
        <w:rPr>
          <w:b/>
        </w:rPr>
        <w:t>Un número para decir en voz alta:</w:t>
      </w:r>
      <w:r>
        <w:t xml:space="preserve"> cada Lock retiene el </w:t>
      </w:r>
      <w:r>
        <w:rPr>
          <w:b/>
        </w:rPr>
        <w:t>98 %</w:t>
      </w:r>
      <w:r>
        <w:t xml:space="preserve"> de cada venta; la comisión de protocolo de Unlock es del 2 %. Hotmart cobra hasta un 9,9 % más tarifa fija; Udemy, hasta un 63 % en ventas orgánicas.</w:t>
      </w:r>
    </w:p>
    <w:p>
      <w:pPr>
        <w:spacing w:before="360" w:after="160"/>
        <w:keepNext/>
        <w:pBdr>
          <w:bottom w:val="single" w:sz="6" w:space="4" w:color="D9D2C7"/>
        </w:pBdr>
      </w:pPr>
      <w:r>
        <w:rPr>
          <w:rFonts w:ascii="Georgia" w:hAnsi="Georgia" w:eastAsia="Georgia"/>
          <w:b/>
          <w:color w:val="D4463C"/>
          <w:sz w:val="34"/>
        </w:rPr>
        <w:t>8. Lo que no hace todavía (y se dice)</w:t>
      </w:r>
    </w:p>
    <w:p>
      <w:pPr>
        <w:pStyle w:val="ListBullet"/>
        <w:spacing w:after="60"/>
      </w:pPr>
      <w:r>
        <w:rPr>
          <w:b/>
        </w:rPr>
        <w:t>El endpoint de clases confía en la dirección que se le indica.</w:t>
      </w:r>
      <w:r>
        <w:t xml:space="preserve"> No pide una firma. Alguien que conozca la dirección de un alumno con membresía podría pedir las URLs en su nombre. La ruta de producción es autenticar la wallet por firma (SIWE) y responder con URLs firmadas de expiración corta.</w:t>
      </w:r>
    </w:p>
    <w:p>
      <w:pPr>
        <w:pStyle w:val="ListBullet"/>
        <w:spacing w:after="60"/>
      </w:pPr>
      <w:r>
        <w:rPr>
          <w:b/>
        </w:rPr>
        <w:t>Los videos son archivos estáticos.</w:t>
      </w:r>
      <w:r>
        <w:t xml:space="preserve"> Quien conozca una ruta puede descargarla. Misma solución: URLs firmadas.</w:t>
      </w:r>
    </w:p>
    <w:p>
      <w:pPr>
        <w:pStyle w:val="ListBullet"/>
        <w:spacing w:after="60"/>
      </w:pPr>
      <w:r>
        <w:rPr>
          <w:b/>
        </w:rPr>
        <w:t>No hay panel del creador.</w:t>
      </w:r>
      <w:r>
        <w:t xml:space="preserve"> El Lock ya guarda el dinero; falta la pantalla con ventas, circulación y retiro (</w:t>
      </w:r>
      <w:r>
        <w:rPr>
          <w:rFonts w:ascii="Consolas" w:hAnsi="Consolas" w:eastAsia="Consolas"/>
          <w:sz w:val="20"/>
          <w:shd w:val="clear" w:color="auto" w:fill="EFE9DF"/>
        </w:rPr>
        <w:t>withdraw</w:t>
      </w:r>
      <w:r>
        <w:t>).</w:t>
      </w:r>
    </w:p>
    <w:p>
      <w:pPr>
        <w:pStyle w:val="ListBullet"/>
        <w:spacing w:after="60"/>
      </w:pPr>
      <w:r>
        <w:rPr>
          <w:b/>
        </w:rPr>
        <w:t>Es testnet.</w:t>
      </w:r>
      <w:r>
        <w:t xml:space="preserve"> Sepolia, con ETH de prueba. El precio en Bs es de referencia; el cobro real lo hace el Lock en la moneda y al precio que tenga.</w:t>
      </w:r>
    </w:p>
    <w:p>
      <w:r>
        <w:t>Se dicen en el README porque un jurado técnico lo notaría, y ocultarlo sería peor que reconocerlo.</w:t>
      </w:r>
    </w:p>
    <w:p>
      <w:pPr>
        <w:spacing w:before="360" w:after="160"/>
        <w:keepNext/>
        <w:pBdr>
          <w:bottom w:val="single" w:sz="6" w:space="4" w:color="D9D2C7"/>
        </w:pBdr>
      </w:pPr>
      <w:r>
        <w:rPr>
          <w:rFonts w:ascii="Georgia" w:hAnsi="Georgia" w:eastAsia="Georgia"/>
          <w:b/>
          <w:color w:val="D4463C"/>
          <w:sz w:val="34"/>
        </w:rPr>
        <w:t>9. Cómo demostrarlo en tres minutos</w:t>
      </w:r>
    </w:p>
    <w:p>
      <w:r>
        <w:rPr>
          <w:b/>
        </w:rPr>
        <w:t>Antes:</w:t>
      </w:r>
      <w:r>
        <w:t xml:space="preserve"> dos ventanas — la app con tu wallet, y </w:t>
      </w:r>
      <w:r>
        <w:rPr>
          <w:rFonts w:ascii="Consolas" w:hAnsi="Consolas" w:eastAsia="Consolas"/>
          <w:sz w:val="20"/>
          <w:shd w:val="clear" w:color="auto" w:fill="EFE9DF"/>
        </w:rPr>
        <w:t>/recibir</w:t>
      </w:r>
      <w:r>
        <w:t xml:space="preserve"> con la otra cuenta. Ten un curso ya comprado para no esperar en vivo. Prueba una vez prestar y recuperar.</w:t>
      </w:r>
    </w:p>
    <w:tbl>
      <w:tblPr>
        <w:tblStyle w:val="TableGrid"/>
        <w:tblW w:type="auto" w:w="0"/>
        <w:tblLayout w:type="autofit"/>
        <w:tblLook w:firstColumn="1" w:firstRow="1" w:lastColumn="0" w:lastRow="0" w:noHBand="0" w:noVBand="1" w:val="04A0"/>
        <w:tblBorders>
          <w:top w:val="single" w:sz="4" w:color="D9D2C7"/>
          <w:left w:val="single" w:sz="4" w:color="D9D2C7"/>
          <w:bottom w:val="single" w:sz="4" w:color="D9D2C7"/>
          <w:right w:val="single" w:sz="4" w:color="D9D2C7"/>
          <w:insideH w:val="single" w:sz="4" w:color="D9D2C7"/>
          <w:insideV w:val="single" w:sz="4" w:color="D9D2C7"/>
        </w:tblBorders>
      </w:tblPr>
      <w:tblGrid>
        <w:gridCol w:w="3168"/>
        <w:gridCol w:w="3168"/>
        <w:gridCol w:w="3168"/>
      </w:tblGrid>
      <w:tr>
        <w:tc>
          <w:tcPr>
            <w:tcW w:type="dxa" w:w="3168"/>
            <w:shd w:val="clear" w:color="auto" w:fill="F2EDE4"/>
          </w:tcPr>
          <w:p>
            <w:pPr>
              <w:spacing w:after="0"/>
            </w:pPr>
            <w:r/>
            <w:r>
              <w:rPr>
                <w:b/>
                <w:color w:val="7A7066"/>
                <w:sz w:val="19"/>
              </w:rPr>
              <w:t>Tiempo</w:t>
            </w:r>
          </w:p>
        </w:tc>
        <w:tc>
          <w:tcPr>
            <w:tcW w:type="dxa" w:w="3168"/>
            <w:shd w:val="clear" w:color="auto" w:fill="F2EDE4"/>
          </w:tcPr>
          <w:p>
            <w:pPr>
              <w:spacing w:after="0"/>
            </w:pPr>
            <w:r/>
            <w:r>
              <w:rPr>
                <w:b/>
                <w:color w:val="7A7066"/>
                <w:sz w:val="19"/>
              </w:rPr>
              <w:t>Pantalla</w:t>
            </w:r>
          </w:p>
        </w:tc>
        <w:tc>
          <w:tcPr>
            <w:tcW w:type="dxa" w:w="3168"/>
            <w:shd w:val="clear" w:color="auto" w:fill="F2EDE4"/>
          </w:tcPr>
          <w:p>
            <w:pPr>
              <w:spacing w:after="0"/>
            </w:pPr>
            <w:r/>
            <w:r>
              <w:rPr>
                <w:b/>
                <w:color w:val="7A7066"/>
                <w:sz w:val="19"/>
              </w:rPr>
              <w:t>Qué decir</w:t>
            </w:r>
          </w:p>
        </w:tc>
      </w:tr>
      <w:tr>
        <w:tc>
          <w:tcPr>
            <w:tcW w:type="dxa" w:w="3168"/>
          </w:tcPr>
          <w:p>
            <w:pPr>
              <w:spacing w:after="0"/>
            </w:pPr>
            <w:r/>
            <w:r>
              <w:rPr>
                <w:sz w:val="20"/>
              </w:rPr>
              <w:t>0:00</w:t>
            </w:r>
          </w:p>
        </w:tc>
        <w:tc>
          <w:tcPr>
            <w:tcW w:type="dxa" w:w="3168"/>
          </w:tcPr>
          <w:p>
            <w:pPr>
              <w:spacing w:after="0"/>
            </w:pPr>
            <w:r/>
            <w:r>
              <w:rPr>
                <w:sz w:val="20"/>
              </w:rPr>
              <w:t>Portada</w:t>
            </w:r>
          </w:p>
        </w:tc>
        <w:tc>
          <w:tcPr>
            <w:tcW w:type="dxa" w:w="3168"/>
          </w:tcPr>
          <w:p>
            <w:pPr>
              <w:spacing w:after="0"/>
            </w:pPr>
            <w:r/>
            <w:r>
              <w:rPr>
                <w:sz w:val="20"/>
              </w:rPr>
              <w:t>"Bolivia es el único país de Latinoamérica sin PayPal. Un profesor boliviano no tiene forma de cobrar por internet."</w:t>
            </w:r>
          </w:p>
        </w:tc>
      </w:tr>
      <w:tr>
        <w:tc>
          <w:tcPr>
            <w:tcW w:type="dxa" w:w="3168"/>
          </w:tcPr>
          <w:p>
            <w:pPr>
              <w:spacing w:after="0"/>
            </w:pPr>
            <w:r/>
            <w:r>
              <w:rPr>
                <w:sz w:val="20"/>
              </w:rPr>
              <w:t>0:25</w:t>
            </w:r>
          </w:p>
        </w:tc>
        <w:tc>
          <w:tcPr>
            <w:tcW w:type="dxa" w:w="3168"/>
          </w:tcPr>
          <w:p>
            <w:pPr>
              <w:spacing w:after="0"/>
            </w:pPr>
            <w:r/>
            <w:r>
              <w:rPr>
                <w:sz w:val="20"/>
              </w:rPr>
              <w:t>Logo</w:t>
            </w:r>
          </w:p>
        </w:tc>
        <w:tc>
          <w:tcPr>
            <w:tcW w:type="dxa" w:w="3168"/>
          </w:tcPr>
          <w:p>
            <w:pPr>
              <w:spacing w:after="0"/>
            </w:pPr>
            <w:r/>
            <w:r>
              <w:rPr>
                <w:sz w:val="20"/>
              </w:rPr>
              <w:t>"Qupuy: en quechua, dar a otro — y pagar."</w:t>
            </w:r>
          </w:p>
        </w:tc>
      </w:tr>
      <w:tr>
        <w:tc>
          <w:tcPr>
            <w:tcW w:type="dxa" w:w="3168"/>
          </w:tcPr>
          <w:p>
            <w:pPr>
              <w:spacing w:after="0"/>
            </w:pPr>
            <w:r/>
            <w:r>
              <w:rPr>
                <w:sz w:val="20"/>
              </w:rPr>
              <w:t>0:45</w:t>
            </w:r>
          </w:p>
        </w:tc>
        <w:tc>
          <w:tcPr>
            <w:tcW w:type="dxa" w:w="3168"/>
          </w:tcPr>
          <w:p>
            <w:pPr>
              <w:spacing w:after="0"/>
            </w:pPr>
            <w:r/>
            <w:r>
              <w:rPr>
                <w:sz w:val="20"/>
              </w:rPr>
              <w:t>Curso sin wallet</w:t>
            </w:r>
          </w:p>
        </w:tc>
        <w:tc>
          <w:tcPr>
            <w:tcW w:type="dxa" w:w="3168"/>
          </w:tcPr>
          <w:p>
            <w:pPr>
              <w:spacing w:after="0"/>
            </w:pPr>
            <w:r/>
            <w:r>
              <w:rPr>
                <w:sz w:val="20"/>
              </w:rPr>
              <w:t>"Cualquiera ve la primera clase. Las demás ni siquiera viajan en la página: el servidor las entrega solo cuando el contrato dice que tienes acceso."</w:t>
            </w:r>
          </w:p>
        </w:tc>
      </w:tr>
      <w:tr>
        <w:tc>
          <w:tcPr>
            <w:tcW w:type="dxa" w:w="3168"/>
          </w:tcPr>
          <w:p>
            <w:pPr>
              <w:spacing w:after="0"/>
            </w:pPr>
            <w:r/>
            <w:r>
              <w:rPr>
                <w:sz w:val="20"/>
              </w:rPr>
              <w:t>1:10</w:t>
            </w:r>
          </w:p>
        </w:tc>
        <w:tc>
          <w:tcPr>
            <w:tcW w:type="dxa" w:w="3168"/>
          </w:tcPr>
          <w:p>
            <w:pPr>
              <w:spacing w:after="0"/>
            </w:pPr>
            <w:r/>
            <w:r>
              <w:rPr>
                <w:sz w:val="20"/>
              </w:rPr>
              <w:t>Comprar</w:t>
            </w:r>
          </w:p>
        </w:tc>
        <w:tc>
          <w:tcPr>
            <w:tcW w:type="dxa" w:w="3168"/>
          </w:tcPr>
          <w:p>
            <w:pPr>
              <w:spacing w:after="0"/>
            </w:pPr>
            <w:r/>
            <w:r>
              <w:rPr>
                <w:sz w:val="20"/>
              </w:rPr>
              <w:t>"Compro… y el contenido aparece solo. El creador se queda con el 98 %."</w:t>
            </w:r>
          </w:p>
        </w:tc>
      </w:tr>
      <w:tr>
        <w:tc>
          <w:tcPr>
            <w:tcW w:type="dxa" w:w="3168"/>
          </w:tcPr>
          <w:p>
            <w:pPr>
              <w:spacing w:after="0"/>
            </w:pPr>
            <w:r/>
            <w:r>
              <w:rPr>
                <w:sz w:val="20"/>
              </w:rPr>
              <w:t>1:45</w:t>
            </w:r>
          </w:p>
        </w:tc>
        <w:tc>
          <w:tcPr>
            <w:tcW w:type="dxa" w:w="3168"/>
          </w:tcPr>
          <w:p>
            <w:pPr>
              <w:spacing w:after="0"/>
            </w:pPr>
            <w:r/>
            <w:r>
              <w:rPr>
                <w:sz w:val="20"/>
              </w:rPr>
              <w:t>Prestar, con las dos pantallas</w:t>
            </w:r>
          </w:p>
        </w:tc>
        <w:tc>
          <w:tcPr>
            <w:tcW w:type="dxa" w:w="3168"/>
          </w:tcPr>
          <w:p>
            <w:pPr>
              <w:spacing w:after="0"/>
            </w:pPr>
            <w:r/>
            <w:r>
              <w:rPr>
                <w:sz w:val="20"/>
              </w:rPr>
              <w:t>"Se lo presto. Escaneo su código… yo lo pierdo, ella lo gana — mira su pantalla. Y como es un préstamo, ella no puede pasarlo y yo lo recupero cuando quiera."</w:t>
            </w:r>
          </w:p>
        </w:tc>
      </w:tr>
      <w:tr>
        <w:tc>
          <w:tcPr>
            <w:tcW w:type="dxa" w:w="3168"/>
          </w:tcPr>
          <w:p>
            <w:pPr>
              <w:spacing w:after="0"/>
            </w:pPr>
            <w:r/>
            <w:r>
              <w:rPr>
                <w:sz w:val="20"/>
              </w:rPr>
              <w:t>2:30</w:t>
            </w:r>
          </w:p>
        </w:tc>
        <w:tc>
          <w:tcPr>
            <w:tcW w:type="dxa" w:w="3168"/>
          </w:tcPr>
          <w:p>
            <w:pPr>
              <w:spacing w:after="0"/>
            </w:pPr>
            <w:r/>
            <w:r>
              <w:rPr>
                <w:sz w:val="20"/>
              </w:rPr>
              <w:t>Linaje</w:t>
            </w:r>
          </w:p>
        </w:tc>
        <w:tc>
          <w:tcPr>
            <w:tcW w:type="dxa" w:w="3168"/>
          </w:tcPr>
          <w:p>
            <w:pPr>
              <w:spacing w:after="0"/>
            </w:pPr>
            <w:r/>
            <w:r>
              <w:rPr>
                <w:sz w:val="20"/>
              </w:rPr>
              <w:t>"La cadena queda registrada. Udemy no sabe a quién le prestaste tu cuenta. Aquí es público y verificable."</w:t>
            </w:r>
          </w:p>
        </w:tc>
      </w:tr>
    </w:tbl>
    <w:p>
      <w:pPr>
        <w:spacing w:after="80"/>
      </w:pPr>
    </w:p>
    <w:p>
      <w:pPr>
        <w:spacing w:before="360" w:after="160"/>
        <w:keepNext/>
        <w:pBdr>
          <w:bottom w:val="single" w:sz="6" w:space="4" w:color="D9D2C7"/>
        </w:pBdr>
      </w:pPr>
      <w:r>
        <w:rPr>
          <w:rFonts w:ascii="Georgia" w:hAnsi="Georgia" w:eastAsia="Georgia"/>
          <w:b/>
          <w:color w:val="D4463C"/>
          <w:sz w:val="34"/>
        </w:rPr>
        <w:t>10. Preguntas que te pueden hacer — y cómo responder</w:t>
      </w:r>
    </w:p>
    <w:p>
      <w:r>
        <w:rPr>
          <w:b/>
        </w:rPr>
        <w:t>¿Por qué blockchain y no un login normal?</w:t>
      </w:r>
      <w:r>
        <w:t xml:space="preserve"> Porque el problema no es el login: es el cobro y la propiedad. Un login no resuelve que no haya PayPal, y una cuenta no se puede prestar sin entregarla entera. La key de Unlock resuelve las dos cosas: es un pago y es un objeto.</w:t>
      </w:r>
    </w:p>
    <w:p>
      <w:r>
        <w:rPr>
          <w:b/>
        </w:rPr>
        <w:t>¿Y balanceOf? ¿No sirve para saber si alguien tiene la membresía?</w:t>
      </w:r>
      <w:r>
        <w:t xml:space="preserve"> No para decidir el acceso. Su semántica cambió entre versiones del PublicLock: en la v14 solo cuenta keys válidas; antes contaba todas. </w:t>
      </w:r>
      <w:r>
        <w:rPr>
          <w:rFonts w:ascii="Consolas" w:hAnsi="Consolas" w:eastAsia="Consolas"/>
          <w:sz w:val="20"/>
          <w:shd w:val="clear" w:color="auto" w:fill="EFE9DF"/>
        </w:rPr>
        <w:t>getHasValidKey</w:t>
      </w:r>
      <w:r>
        <w:t xml:space="preserve"> es el contrato explícito de "tiene acceso ahora", ejecuta los hooks de validez, y no depende de la versión. Lo verificamos en el código fuente de la versión desplegada.</w:t>
      </w:r>
    </w:p>
    <w:p>
      <w:r>
        <w:rPr>
          <w:b/>
        </w:rPr>
        <w:t>¿Qué pasa cuando vence?</w:t>
      </w:r>
      <w:r>
        <w:t xml:space="preserve"> </w:t>
      </w:r>
      <w:r>
        <w:rPr>
          <w:rFonts w:ascii="Consolas" w:hAnsi="Consolas" w:eastAsia="Consolas"/>
          <w:sz w:val="20"/>
          <w:shd w:val="clear" w:color="auto" w:fill="EFE9DF"/>
        </w:rPr>
        <w:t>getHasValidKey</w:t>
      </w:r>
      <w:r>
        <w:t xml:space="preserve"> devuelve </w:t>
      </w:r>
      <w:r>
        <w:rPr>
          <w:rFonts w:ascii="Consolas" w:hAnsi="Consolas" w:eastAsia="Consolas"/>
          <w:sz w:val="20"/>
          <w:shd w:val="clear" w:color="auto" w:fill="EFE9DF"/>
        </w:rPr>
        <w:t>false</w:t>
      </w:r>
      <w:r>
        <w:t xml:space="preserve">, el curso vuelve a la vista previa y el botón pasa a ser "Renovar mi acceso", que llama a </w:t>
      </w:r>
      <w:r>
        <w:rPr>
          <w:rFonts w:ascii="Consolas" w:hAnsi="Consolas" w:eastAsia="Consolas"/>
          <w:sz w:val="20"/>
          <w:shd w:val="clear" w:color="auto" w:fill="EFE9DF"/>
        </w:rPr>
        <w:t>extend</w:t>
      </w:r>
      <w:r>
        <w:t xml:space="preserve"> sobre la misma key. No se puede volver a comprar: Unlock rechaza un </w:t>
      </w:r>
      <w:r>
        <w:rPr>
          <w:rFonts w:ascii="Consolas" w:hAnsi="Consolas" w:eastAsia="Consolas"/>
          <w:sz w:val="20"/>
          <w:shd w:val="clear" w:color="auto" w:fill="EFE9DF"/>
        </w:rPr>
        <w:t>purchase</w:t>
      </w:r>
      <w:r>
        <w:t xml:space="preserve"> cuando ya posees una key, aunque esté vencida.</w:t>
      </w:r>
    </w:p>
    <w:p>
      <w:r>
        <w:rPr>
          <w:b/>
        </w:rPr>
        <w:t>¿Se puede transferir una key vencida?</w:t>
      </w:r>
      <w:r>
        <w:t xml:space="preserve"> No. El contrato lo impide (</w:t>
      </w:r>
      <w:r>
        <w:rPr>
          <w:rFonts w:ascii="Consolas" w:hAnsi="Consolas" w:eastAsia="Consolas"/>
          <w:sz w:val="20"/>
          <w:shd w:val="clear" w:color="auto" w:fill="EFE9DF"/>
        </w:rPr>
        <w:t>_isValidKey</w:t>
      </w:r>
      <w:r>
        <w:t xml:space="preserve"> en </w:t>
      </w:r>
      <w:r>
        <w:rPr>
          <w:rFonts w:ascii="Consolas" w:hAnsi="Consolas" w:eastAsia="Consolas"/>
          <w:sz w:val="20"/>
          <w:shd w:val="clear" w:color="auto" w:fill="EFE9DF"/>
        </w:rPr>
        <w:t>transferFrom</w:t>
      </w:r>
      <w:r>
        <w:t>). Hay que renovar antes.</w:t>
      </w:r>
    </w:p>
    <w:p>
      <w:r>
        <w:rPr>
          <w:b/>
        </w:rPr>
        <w:t>¿Y si me prestan el acceso y yo lo quiero pasar?</w:t>
      </w:r>
      <w:r>
        <w:t xml:space="preserve"> No puedes. En un préstamo el key manager es quien prestó; la interfaz ni siquiera te muestra el botón, y el contrato rechazaría la operación.</w:t>
      </w:r>
    </w:p>
    <w:p>
      <w:r>
        <w:rPr>
          <w:b/>
        </w:rPr>
        <w:t>¿Cómo sabes que el gating es real y no CSS?</w:t>
      </w:r>
      <w:r>
        <w:t xml:space="preserve"> Dos capas. En el render: sin membresía válida, ningún reproductor recibe una clase de pago. En el servidor: las URLs de pago no viajan en la página; las entrega </w:t>
      </w:r>
      <w:r>
        <w:rPr>
          <w:rFonts w:ascii="Consolas" w:hAnsi="Consolas" w:eastAsia="Consolas"/>
          <w:sz w:val="20"/>
          <w:shd w:val="clear" w:color="auto" w:fill="EFE9DF"/>
        </w:rPr>
        <w:t>/api/clase/[id]</w:t>
      </w:r>
      <w:r>
        <w:t xml:space="preserve"> tras consultar el contrato. Abre "ver código fuente" de un curso sin wallet: no encontrarás ninguna clase de pago.</w:t>
      </w:r>
    </w:p>
    <w:p>
      <w:r>
        <w:rPr>
          <w:b/>
        </w:rPr>
        <w:t>Entonces, ¿es seguro del todo?</w:t>
      </w:r>
      <w:r>
        <w:t xml:space="preserve"> No, y está escrito en el README. El endpoint confía en la dirección que se le indica y los archivos son estáticos. La ruta de producción es SIWE y URLs firmadas. Preferimos declararlo a ocultarlo.</w:t>
      </w:r>
    </w:p>
    <w:p>
      <w:r>
        <w:rPr>
          <w:b/>
        </w:rPr>
        <w:t>¿Por qué Sepolia y no mainnet?</w:t>
      </w:r>
      <w:r>
        <w:t xml:space="preserve"> Porque es una demo de 48 horas y el gas de prueba es gratis. Cambiar de red es añadir una entrada al registro de Locks. Unlock ya opera en Base y en Avalanche C-Chain.</w:t>
      </w:r>
    </w:p>
    <w:p>
      <w:r>
        <w:rPr>
          <w:b/>
        </w:rPr>
        <w:t>¿Cómo paga un boliviano ETH si no tiene PayPal?</w:t>
      </w:r>
      <w:r>
        <w:t xml:space="preserve"> Hoy, con una wallet y un exchange P2P — que sí existen en Bolivia. El siguiente paso natural es un on-ramp local por QR. Lo que Qupuy resuelve es lo que viene después del pago: que el acceso signifique algo.</w:t>
      </w:r>
    </w:p>
    <w:p>
      <w:r>
        <w:rPr>
          <w:b/>
        </w:rPr>
        <w:t>¿Cuánto se queda el creador?</w:t>
      </w:r>
      <w:r>
        <w:t xml:space="preserve"> El 98 %. La comisión de protocolo de Unlock es del 2 %. Hotmart cobra hasta 9,9 % más tarifa fija; Udemy hasta 63 % en ventas orgánicas.</w:t>
      </w:r>
    </w:p>
    <w:p>
      <w:r>
        <w:rPr>
          <w:b/>
        </w:rPr>
        <w:t>¿Escribieron contratos propios?</w:t>
      </w:r>
      <w:r>
        <w:t xml:space="preserve"> No, a propósito. El bounty evalúa la integración con Unlock, no el volumen de Solidity. Un contrato propio habría añadido bugs, tests y despliegue sin sumar puntos. El tiempo fue a la experiencia.</w:t>
      </w:r>
    </w:p>
    <w:p>
      <w:r>
        <w:rPr>
          <w:b/>
        </w:rPr>
        <w:t>¿Por qué el precio dice Bs 70 si el Lock cobra 0,0001 ETH?</w:t>
      </w:r>
      <w:r>
        <w:t xml:space="preserve"> Bs 70 es el precio de referencia que el creador cobraría; en la demo el Lock cobra ETH de prueba, y la tarjeta lo dice. En producción el precio del Lock se configura al equivalente.</w:t>
      </w:r>
    </w:p>
    <w:p>
      <w:r>
        <w:rPr>
          <w:b/>
        </w:rPr>
        <w:t>¿Qué pasa si el RPC falla?</w:t>
      </w:r>
      <w:r>
        <w:t xml:space="preserve"> La historia del acceso muestra "No se pudo leer la historia" con un botón de reintento, y el número de accesos vendidos sale directamente del contrato (</w:t>
      </w:r>
      <w:r>
        <w:rPr>
          <w:rFonts w:ascii="Consolas" w:hAnsi="Consolas" w:eastAsia="Consolas"/>
          <w:sz w:val="20"/>
          <w:shd w:val="clear" w:color="auto" w:fill="EFE9DF"/>
        </w:rPr>
        <w:t>totalSupply</w:t>
      </w:r>
      <w:r>
        <w:t>). Nada desaparece en silencio.</w:t>
      </w:r>
    </w:p>
    <w:p>
      <w:r>
        <w:rPr>
          <w:b/>
        </w:rPr>
        <w:t>¿Y si mi wallet está en otra red?</w:t>
      </w:r>
      <w:r>
        <w:t xml:space="preserve"> La app sigue mostrando tu estado (las lecturas van siempre a la red del Lock), pero para comprar o pasar el acceso te ofrece cambiar de red. Nunca firma en una red equivocada: el </w:t>
      </w:r>
      <w:r>
        <w:rPr>
          <w:rFonts w:ascii="Consolas" w:hAnsi="Consolas" w:eastAsia="Consolas"/>
          <w:sz w:val="20"/>
          <w:shd w:val="clear" w:color="auto" w:fill="EFE9DF"/>
        </w:rPr>
        <w:t>chainId</w:t>
      </w:r>
      <w:r>
        <w:t xml:space="preserve"> va en cada transacción.</w:t>
      </w:r>
    </w:p>
    <w:p>
      <w:r>
        <w:rPr>
          <w:b/>
        </w:rPr>
        <w:t>¿Esto ya existe en otro sitio?</w:t>
      </w:r>
      <w:r>
        <w:t xml:space="preserve"> Membresías con Unlock, sí. Un portal de cursos donde el acceso se presta con </w:t>
      </w:r>
      <w:r>
        <w:rPr>
          <w:rFonts w:ascii="Consolas" w:hAnsi="Consolas" w:eastAsia="Consolas"/>
          <w:sz w:val="20"/>
          <w:shd w:val="clear" w:color="auto" w:fill="EFE9DF"/>
        </w:rPr>
        <w:t>lendKey</w:t>
      </w:r>
      <w:r>
        <w:t>, se recupera, y la cadena de manos se muestra como parte del producto, no lo hemos visto. Y el contexto boliviano —sin PayPal— es lo que le da sentido.</w:t>
      </w:r>
    </w:p>
    <w:p>
      <w:pPr>
        <w:spacing w:before="360" w:after="160"/>
        <w:keepNext/>
        <w:pBdr>
          <w:bottom w:val="single" w:sz="6" w:space="4" w:color="D9D2C7"/>
        </w:pBdr>
      </w:pPr>
      <w:r>
        <w:rPr>
          <w:rFonts w:ascii="Georgia" w:hAnsi="Georgia" w:eastAsia="Georgia"/>
          <w:b/>
          <w:color w:val="D4463C"/>
          <w:sz w:val="34"/>
        </w:rPr>
        <w:t>11. Glosario</w:t>
      </w:r>
    </w:p>
    <w:tbl>
      <w:tblPr>
        <w:tblStyle w:val="TableGrid"/>
        <w:tblW w:type="auto" w:w="0"/>
        <w:tblLayout w:type="autofit"/>
        <w:tblLook w:firstColumn="1" w:firstRow="1" w:lastColumn="0" w:lastRow="0" w:noHBand="0" w:noVBand="1" w:val="04A0"/>
        <w:tblBorders>
          <w:top w:val="single" w:sz="4" w:color="D9D2C7"/>
          <w:left w:val="single" w:sz="4" w:color="D9D2C7"/>
          <w:bottom w:val="single" w:sz="4" w:color="D9D2C7"/>
          <w:right w:val="single" w:sz="4" w:color="D9D2C7"/>
          <w:insideH w:val="single" w:sz="4" w:color="D9D2C7"/>
          <w:insideV w:val="single" w:sz="4" w:color="D9D2C7"/>
        </w:tblBorders>
      </w:tblPr>
      <w:tblGrid>
        <w:gridCol w:w="4752"/>
        <w:gridCol w:w="4752"/>
      </w:tblGrid>
      <w:tr>
        <w:tc>
          <w:tcPr>
            <w:tcW w:type="dxa" w:w="4752"/>
            <w:shd w:val="clear" w:color="auto" w:fill="F2EDE4"/>
          </w:tcPr>
          <w:p>
            <w:pPr>
              <w:spacing w:after="0"/>
            </w:pPr>
            <w:r/>
            <w:r>
              <w:rPr>
                <w:b/>
                <w:color w:val="7A7066"/>
                <w:sz w:val="19"/>
              </w:rPr>
              <w:t>Término</w:t>
            </w:r>
          </w:p>
        </w:tc>
        <w:tc>
          <w:tcPr>
            <w:tcW w:type="dxa" w:w="4752"/>
            <w:shd w:val="clear" w:color="auto" w:fill="F2EDE4"/>
          </w:tcPr>
          <w:p>
            <w:pPr>
              <w:spacing w:after="0"/>
            </w:pPr>
            <w:r/>
            <w:r>
              <w:rPr>
                <w:b/>
                <w:color w:val="7A7066"/>
                <w:sz w:val="19"/>
              </w:rPr>
              <w:t>Qué es</w:t>
            </w:r>
          </w:p>
        </w:tc>
      </w:tr>
      <w:tr>
        <w:tc>
          <w:tcPr>
            <w:tcW w:type="dxa" w:w="4752"/>
          </w:tcPr>
          <w:p>
            <w:pPr>
              <w:spacing w:after="0"/>
            </w:pPr>
            <w:r/>
            <w:r>
              <w:rPr>
                <w:b/>
                <w:sz w:val="20"/>
              </w:rPr>
              <w:t>Lock</w:t>
            </w:r>
          </w:p>
        </w:tc>
        <w:tc>
          <w:tcPr>
            <w:tcW w:type="dxa" w:w="4752"/>
          </w:tcPr>
          <w:p>
            <w:pPr>
              <w:spacing w:after="0"/>
            </w:pPr>
            <w:r/>
            <w:r>
              <w:rPr>
                <w:sz w:val="20"/>
              </w:rPr>
              <w:t>El contrato de Unlock de un curso: precio, duración, moneda</w:t>
            </w:r>
          </w:p>
        </w:tc>
      </w:tr>
      <w:tr>
        <w:tc>
          <w:tcPr>
            <w:tcW w:type="dxa" w:w="4752"/>
          </w:tcPr>
          <w:p>
            <w:pPr>
              <w:spacing w:after="0"/>
            </w:pPr>
            <w:r/>
            <w:r>
              <w:rPr>
                <w:b/>
                <w:sz w:val="20"/>
              </w:rPr>
              <w:t>Key</w:t>
            </w:r>
          </w:p>
        </w:tc>
        <w:tc>
          <w:tcPr>
            <w:tcW w:type="dxa" w:w="4752"/>
          </w:tcPr>
          <w:p>
            <w:pPr>
              <w:spacing w:after="0"/>
            </w:pPr>
            <w:r/>
            <w:r>
              <w:rPr>
                <w:sz w:val="20"/>
              </w:rPr>
              <w:t>El NFT que representa la membresía de una wallet. Vence y se transfiere</w:t>
            </w:r>
          </w:p>
        </w:tc>
      </w:tr>
      <w:tr>
        <w:tc>
          <w:tcPr>
            <w:tcW w:type="dxa" w:w="4752"/>
          </w:tcPr>
          <w:p>
            <w:pPr>
              <w:spacing w:after="0"/>
            </w:pPr>
            <w:r/>
            <w:r>
              <w:rPr>
                <w:b/>
                <w:sz w:val="20"/>
              </w:rPr>
              <w:t>Acceso</w:t>
            </w:r>
          </w:p>
        </w:tc>
        <w:tc>
          <w:tcPr>
            <w:tcW w:type="dxa" w:w="4752"/>
          </w:tcPr>
          <w:p>
            <w:pPr>
              <w:spacing w:after="0"/>
            </w:pPr>
            <w:r/>
            <w:r>
              <w:rPr>
                <w:sz w:val="20"/>
              </w:rPr>
              <w:t>Cómo la interfaz llama a la key. Nunca decimos "NFT" ni "key" al usuario</w:t>
            </w:r>
          </w:p>
        </w:tc>
      </w:tr>
      <w:tr>
        <w:tc>
          <w:tcPr>
            <w:tcW w:type="dxa" w:w="4752"/>
          </w:tcPr>
          <w:p>
            <w:pPr>
              <w:spacing w:after="0"/>
            </w:pPr>
            <w:r/>
            <w:r>
              <w:rPr>
                <w:b/>
                <w:sz w:val="20"/>
              </w:rPr>
              <w:t>Pasar el acceso</w:t>
            </w:r>
          </w:p>
        </w:tc>
        <w:tc>
          <w:tcPr>
            <w:tcW w:type="dxa" w:w="4752"/>
          </w:tcPr>
          <w:p>
            <w:pPr>
              <w:spacing w:after="0"/>
            </w:pPr>
            <w:r/>
            <w:r>
              <w:rPr>
                <w:sz w:val="20"/>
              </w:rPr>
              <w:t>Prestar o regalar la key a otra wallet</w:t>
            </w:r>
          </w:p>
        </w:tc>
      </w:tr>
      <w:tr>
        <w:tc>
          <w:tcPr>
            <w:tcW w:type="dxa" w:w="4752"/>
          </w:tcPr>
          <w:p>
            <w:pPr>
              <w:spacing w:after="0"/>
            </w:pPr>
            <w:r/>
            <w:r>
              <w:rPr>
                <w:b/>
                <w:sz w:val="20"/>
              </w:rPr>
              <w:t>Préstamo</w:t>
            </w:r>
          </w:p>
        </w:tc>
        <w:tc>
          <w:tcPr>
            <w:tcW w:type="dxa" w:w="4752"/>
          </w:tcPr>
          <w:p>
            <w:pPr>
              <w:spacing w:after="0"/>
            </w:pPr>
            <w:r/>
            <w:r>
              <w:rPr>
                <w:sz w:val="20"/>
              </w:rPr>
              <w:t>Pasar la key conservando el control (</w:t>
            </w:r>
            <w:r>
              <w:rPr>
                <w:rFonts w:ascii="Consolas" w:hAnsi="Consolas" w:eastAsia="Consolas"/>
                <w:sz w:val="18"/>
                <w:shd w:val="clear" w:color="auto" w:fill="EFE9DF"/>
              </w:rPr>
              <w:t>lendKey</w:t>
            </w:r>
            <w:r>
              <w:rPr>
                <w:sz w:val="20"/>
              </w:rPr>
              <w:t xml:space="preserve">); se recupera con </w:t>
            </w:r>
            <w:r>
              <w:rPr>
                <w:rFonts w:ascii="Consolas" w:hAnsi="Consolas" w:eastAsia="Consolas"/>
                <w:sz w:val="18"/>
                <w:shd w:val="clear" w:color="auto" w:fill="EFE9DF"/>
              </w:rPr>
              <w:t>unlendKey</w:t>
            </w:r>
          </w:p>
        </w:tc>
      </w:tr>
      <w:tr>
        <w:tc>
          <w:tcPr>
            <w:tcW w:type="dxa" w:w="4752"/>
          </w:tcPr>
          <w:p>
            <w:pPr>
              <w:spacing w:after="0"/>
            </w:pPr>
            <w:r/>
            <w:r>
              <w:rPr>
                <w:b/>
                <w:sz w:val="20"/>
              </w:rPr>
              <w:t>Key manager</w:t>
            </w:r>
          </w:p>
        </w:tc>
        <w:tc>
          <w:tcPr>
            <w:tcW w:type="dxa" w:w="4752"/>
          </w:tcPr>
          <w:p>
            <w:pPr>
              <w:spacing w:after="0"/>
            </w:pPr>
            <w:r/>
            <w:r>
              <w:rPr>
                <w:sz w:val="20"/>
              </w:rPr>
              <w:t>Quien controla una key. Por defecto, su dueño; tras un préstamo, quien prestó</w:t>
            </w:r>
          </w:p>
        </w:tc>
      </w:tr>
      <w:tr>
        <w:tc>
          <w:tcPr>
            <w:tcW w:type="dxa" w:w="4752"/>
          </w:tcPr>
          <w:p>
            <w:pPr>
              <w:spacing w:after="0"/>
            </w:pPr>
            <w:r/>
            <w:r>
              <w:rPr>
                <w:b/>
                <w:sz w:val="20"/>
              </w:rPr>
              <w:t>Linaje</w:t>
            </w:r>
          </w:p>
        </w:tc>
        <w:tc>
          <w:tcPr>
            <w:tcW w:type="dxa" w:w="4752"/>
          </w:tcPr>
          <w:p>
            <w:pPr>
              <w:spacing w:after="0"/>
            </w:pPr>
            <w:r/>
            <w:r>
              <w:rPr>
                <w:sz w:val="20"/>
              </w:rPr>
              <w:t xml:space="preserve">La historia de manos por las que pasó un acceso, leída de los eventos </w:t>
            </w:r>
            <w:r>
              <w:rPr>
                <w:rFonts w:ascii="Consolas" w:hAnsi="Consolas" w:eastAsia="Consolas"/>
                <w:sz w:val="18"/>
                <w:shd w:val="clear" w:color="auto" w:fill="EFE9DF"/>
              </w:rPr>
              <w:t>Transfer</w:t>
            </w:r>
          </w:p>
        </w:tc>
      </w:tr>
      <w:tr>
        <w:tc>
          <w:tcPr>
            <w:tcW w:type="dxa" w:w="4752"/>
          </w:tcPr>
          <w:p>
            <w:pPr>
              <w:spacing w:after="0"/>
            </w:pPr>
            <w:r/>
            <w:r>
              <w:rPr>
                <w:b/>
                <w:sz w:val="20"/>
              </w:rPr>
              <w:t>Gating</w:t>
            </w:r>
          </w:p>
        </w:tc>
        <w:tc>
          <w:tcPr>
            <w:tcW w:type="dxa" w:w="4752"/>
          </w:tcPr>
          <w:p>
            <w:pPr>
              <w:spacing w:after="0"/>
            </w:pPr>
            <w:r/>
            <w:r>
              <w:rPr>
                <w:sz w:val="20"/>
              </w:rPr>
              <w:t>Decidir qué contenido se entrega según la membresía</w:t>
            </w:r>
          </w:p>
        </w:tc>
      </w:tr>
      <w:tr>
        <w:tc>
          <w:tcPr>
            <w:tcW w:type="dxa" w:w="4752"/>
          </w:tcPr>
          <w:p>
            <w:pPr>
              <w:spacing w:after="0"/>
            </w:pPr>
            <w:r/>
            <w:r>
              <w:rPr>
                <w:b/>
                <w:sz w:val="20"/>
              </w:rPr>
              <w:t>Sepolia</w:t>
            </w:r>
          </w:p>
        </w:tc>
        <w:tc>
          <w:tcPr>
            <w:tcW w:type="dxa" w:w="4752"/>
          </w:tcPr>
          <w:p>
            <w:pPr>
              <w:spacing w:after="0"/>
            </w:pPr>
            <w:r/>
            <w:r>
              <w:rPr>
                <w:sz w:val="20"/>
              </w:rPr>
              <w:t>La red de prueba de Ethereum donde viven los Locks</w:t>
            </w:r>
          </w:p>
        </w:tc>
      </w:tr>
    </w:tbl>
    <w:p>
      <w:pPr>
        <w:spacing w:after="80"/>
      </w:pPr>
    </w:p>
    <w:p>
      <w:pPr>
        <w:spacing w:before="360" w:after="160"/>
        <w:keepNext/>
        <w:pBdr>
          <w:bottom w:val="single" w:sz="6" w:space="4" w:color="D9D2C7"/>
        </w:pBdr>
      </w:pPr>
      <w:r>
        <w:rPr>
          <w:rFonts w:ascii="Georgia" w:hAnsi="Georgia" w:eastAsia="Georgia"/>
          <w:b/>
          <w:color w:val="D4463C"/>
          <w:sz w:val="34"/>
        </w:rPr>
        <w:t>12. Cifras para decir en voz alta</w:t>
      </w:r>
    </w:p>
    <w:p>
      <w:pPr>
        <w:pStyle w:val="ListBullet"/>
        <w:spacing w:after="60"/>
      </w:pPr>
      <w:r>
        <w:t xml:space="preserve">Bolivia: </w:t>
      </w:r>
      <w:r>
        <w:rPr>
          <w:b/>
        </w:rPr>
        <w:t>único país de Latinoamérica sin PayPal</w:t>
      </w:r>
      <w:r>
        <w:t>.</w:t>
      </w:r>
    </w:p>
    <w:p>
      <w:pPr>
        <w:pStyle w:val="ListBullet"/>
        <w:spacing w:after="60"/>
      </w:pPr>
      <w:r>
        <w:rPr>
          <w:b/>
        </w:rPr>
        <w:t>98 %</w:t>
      </w:r>
      <w:r>
        <w:t xml:space="preserve"> para el creador; 2 % de protocolo.</w:t>
      </w:r>
    </w:p>
    <w:p>
      <w:pPr>
        <w:pStyle w:val="ListBullet"/>
        <w:spacing w:after="60"/>
      </w:pPr>
      <w:r>
        <w:rPr>
          <w:b/>
        </w:rPr>
        <w:t>3</w:t>
      </w:r>
      <w:r>
        <w:t xml:space="preserve"> Locks, </w:t>
      </w:r>
      <w:r>
        <w:rPr>
          <w:b/>
        </w:rPr>
        <w:t>2</w:t>
      </w:r>
      <w:r>
        <w:t xml:space="preserve"> compras y </w:t>
      </w:r>
      <w:r>
        <w:rPr>
          <w:b/>
        </w:rPr>
        <w:t>1</w:t>
      </w:r>
      <w:r>
        <w:t xml:space="preserve"> transferencia verificadas en cadena.</w:t>
      </w:r>
    </w:p>
    <w:p>
      <w:pPr>
        <w:pStyle w:val="ListBullet"/>
        <w:spacing w:after="60"/>
      </w:pPr>
      <w:r>
        <w:rPr>
          <w:b/>
        </w:rPr>
        <w:t>0</w:t>
      </w:r>
      <w:r>
        <w:t xml:space="preserve"> URLs de pago en la página de un curso sin wallet.</w:t>
      </w:r>
    </w:p>
    <w:p>
      <w:pPr>
        <w:pStyle w:val="ListBullet"/>
        <w:spacing w:after="60"/>
      </w:pPr>
      <w:r>
        <w:rPr>
          <w:b/>
        </w:rPr>
        <w:t>1</w:t>
      </w:r>
      <w:r>
        <w:t xml:space="preserve"> persona con el acceso a la vez. Siempre.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eastAsia="Calibri"/>
      <w:color w:val="1A15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qupuy-explicado</dc:title>
  <dc:subject/>
  <dc:creator>Mirko Baron Vedia</dc:creator>
  <cp:keywords/>
  <dc:description>generated by python-docx</dc:description>
  <cp:lastModifiedBy/>
  <cp:revision>1</cp:revision>
  <dcterms:created xsi:type="dcterms:W3CDTF">2013-12-23T23:15:00Z</dcterms:created>
  <dcterms:modified xsi:type="dcterms:W3CDTF">2013-12-23T23:15:00Z</dcterms:modified>
  <cp:category/>
</cp:coreProperties>
</file>