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HEENT / Throat Assessments &amp; Investigations</w:t>
      </w:r>
    </w:p>
    <w:p>
      <w:pPr>
        <w:jc w:val="center"/>
      </w:pPr>
      <w:r>
        <w:rPr>
          <w:i/>
          <w:color w:val="595959"/>
          <w:sz w:val="18"/>
        </w:rPr>
        <w:t>What it is • When to use it • How to interpret it • What to look for</w:t>
      </w:r>
    </w:p>
    <w:p>
      <w:pPr>
        <w:pStyle w:val="Heading1"/>
      </w:pPr>
      <w:r>
        <w:t>1. Investigations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sz w:val="16"/>
              </w:rPr>
              <w:t>Investigation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sz w:val="16"/>
              </w:rPr>
              <w:t>What it is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sz w:val="16"/>
              </w:rPr>
              <w:t>When I would use it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sz w:val="16"/>
              </w:rPr>
              <w:t>How to read it / what to look for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Throat culture for GABHS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Throat swab cultured specifically for Group A beta-hemolytic Streptococcus (GAS/GABHS).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Suspected streptococcal pharyngitis; especially when confirmation is required or RADT is negative but clinical suspicion remains.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Positive = GAS isolated and supports strep pharyngitis. Negative = GAS not isolated. More sensitive than RADT, but slower.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Rapid antigen detection test (RADT) / rapid strep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Rapid throat swab that detects GAS antigen.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Acute sore throat when GAS is clinically suspected.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Positive = strong evidence of GAS. Negative = GAS not detected, but false negatives occur because sensitivity is lower than culture. Depending on age/guideline, a negative test may require culture confirmation.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Swab for culture &amp; sensitivity (C&amp;S)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Grows organisms from a specific body site and tests antimicrobial susceptibility.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Suspected bacterial infection, especially recurrent, unusual, severe, treatment-resistant infection, drainage/wound, or ear discharge. Always indicate the site.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Review: 1) organism identified and 2) susceptibility. S = susceptible; R = resistant; I = intermediate/increased exposure depending on lab. Interpret organism in context of the sampled site.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CBC with differential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Measures RBCs, WBCs, platelets, and the distribution of WBC types.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Systemic illness, prolonged/severe infection, suspected mononucleosis, bacterial infection, or hematologic abnormality.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For infection, focus on WBC count + differential. Neutrophilia often suggests bacterial/inflammatory process. Lymphocytosis often suggests viral illness. Atypical lymphocytes may occur with EBV. Also note anemia, thrombocytopenia, or other unexpected abnormalities.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Heterophile antibody test (Monospot)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Detects heterophile antibodies associated with EBV infectious mononucleosis.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Suspected mono: fever, marked fatigue, exudative pharyngitis, posterior cervical lymphadenopathy +/- splenomegaly.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Positive supports infectious mononucleosis. A negative result does not fully exclude early EBV, especially early in illness or in young children. If suspicion remains high, consider EBV-specific serology.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Erythrocyte sedimentation rate (ESR)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Nonspecific marker of inflammation based on how quickly red blood cells settle.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When a broader inflammatory/systemic process is suspected rather than routine uncomplicated pharyngitis.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Elevated ESR = inflammation is present but does not identify the cause or location. Interpret with history, exam, and other tests. Can rise with infection, inflammatory/autoimmune disease, malignancy, and other conditions.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Thyroid-stimulating hormone (TSH)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Measures TSH and indirectly assesses thyroid function.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Neck symptoms/goiter, fatigue, weight change, heat/cold intolerance, palpitations, menstrual changes, or suspected thyroid dysfunction.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High TSH commonly suggests primary hypothyroidism. Low TSH commonly suggests hyperthyroidism. Usually interpret with free T4 and the clinical picture.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Fungal culture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Culture used to identify fungal organisms.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Persistent/recurrent suspected fungal infection, atypical presentation, treatment failure, immunocompromised patient, or when organism identification is needed.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Positive = fungal organism identified. Decide whether it matches the clinical picture versus colonization/contamination. May guide antifungal therapy.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Audiometry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Measures hearing thresholds across different frequencies.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Reported hearing loss, failed hearing screen, chronic/recurrent ear disease, tinnitus, or concern for conductive/sensorineural hearing loss.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Review hearing threshold in dB across frequencies. Determine degree, symmetry, and pattern of hearing loss. Air vs bone conduction helps distinguish conductive from sensorineural loss.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Tympanometry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Measures tympanic membrane compliance/movement and middle-ear pressure.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Suspected middle-ear effusion, eustachian tube dysfunction, recurrent otitis media, or hearing concerns.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sz w:val="16"/>
              </w:rPr>
              <w:t>Type A = normal middle-ear function. Type B = flat tracing, commonly middle-ear effusion; perforation may also cause this depending on ear canal volume. Type C = negative middle-ear pressure, suggesting eustachian tube dysfunction.</w:t>
            </w:r>
          </w:p>
        </w:tc>
      </w:tr>
    </w:tbl>
    <w:p>
      <w:pPr>
        <w:pStyle w:val="Heading1"/>
      </w:pPr>
      <w:r>
        <w:t>2. Quick Approach to a Patient With a Sore Throat</w:t>
      </w:r>
    </w:p>
    <w:p>
      <w:pPr>
        <w:pStyle w:val="Heading2"/>
      </w:pPr>
      <w:r>
        <w:t>Does it look viral?</w:t>
      </w:r>
    </w:p>
    <w:p>
      <w:pPr>
        <w:pStyle w:val="ListBullet"/>
        <w:spacing w:after="30"/>
        <w:ind w:left="360"/>
      </w:pPr>
      <w:r>
        <w:t>Cough</w:t>
      </w:r>
    </w:p>
    <w:p>
      <w:pPr>
        <w:pStyle w:val="ListBullet"/>
        <w:spacing w:after="30"/>
        <w:ind w:left="360"/>
      </w:pPr>
      <w:r>
        <w:t>Rhinorrhea</w:t>
      </w:r>
    </w:p>
    <w:p>
      <w:pPr>
        <w:pStyle w:val="ListBullet"/>
        <w:spacing w:after="30"/>
        <w:ind w:left="360"/>
      </w:pPr>
      <w:r>
        <w:t>Hoarseness</w:t>
      </w:r>
    </w:p>
    <w:p>
      <w:pPr>
        <w:pStyle w:val="ListBullet"/>
        <w:spacing w:after="30"/>
        <w:ind w:left="360"/>
      </w:pPr>
      <w:r>
        <w:t>Oral ulcers</w:t>
      </w:r>
    </w:p>
    <w:p>
      <w:pPr>
        <w:pStyle w:val="ListBullet"/>
        <w:spacing w:after="30"/>
        <w:ind w:left="360"/>
      </w:pPr>
      <w:r>
        <w:t>Conjunctivitis</w:t>
      </w:r>
    </w:p>
    <w:p>
      <w:r>
        <w:rPr>
          <w:b/>
        </w:rPr>
        <w:t xml:space="preserve">Interpretation: </w:t>
      </w:r>
      <w:r>
        <w:t>These findings make GAS less likely.</w:t>
      </w:r>
    </w:p>
    <w:p>
      <w:pPr>
        <w:pStyle w:val="Heading2"/>
      </w:pPr>
      <w:r>
        <w:t>Does it look like GAS?</w:t>
      </w:r>
    </w:p>
    <w:p>
      <w:pPr>
        <w:pStyle w:val="ListBullet"/>
        <w:spacing w:after="30"/>
        <w:ind w:left="360"/>
      </w:pPr>
      <w:r>
        <w:t>Fever</w:t>
      </w:r>
    </w:p>
    <w:p>
      <w:pPr>
        <w:pStyle w:val="ListBullet"/>
        <w:spacing w:after="30"/>
        <w:ind w:left="360"/>
      </w:pPr>
      <w:r>
        <w:t>Tonsillar swelling or exudate</w:t>
      </w:r>
    </w:p>
    <w:p>
      <w:pPr>
        <w:pStyle w:val="ListBullet"/>
        <w:spacing w:after="30"/>
        <w:ind w:left="360"/>
      </w:pPr>
      <w:r>
        <w:t>Tender anterior cervical lymph nodes</w:t>
      </w:r>
    </w:p>
    <w:p>
      <w:pPr>
        <w:pStyle w:val="ListBullet"/>
        <w:spacing w:after="30"/>
        <w:ind w:left="360"/>
      </w:pPr>
      <w:r>
        <w:t>Absence of cough</w:t>
      </w:r>
    </w:p>
    <w:p>
      <w:pPr>
        <w:pStyle w:val="ListBullet"/>
        <w:spacing w:after="30"/>
        <w:ind w:left="360"/>
      </w:pPr>
      <w:r>
        <w:t>Age/risk factors consistent with GAS</w:t>
      </w:r>
    </w:p>
    <w:p>
      <w:pPr>
        <w:pStyle w:val="Heading2"/>
      </w:pPr>
      <w:r>
        <w:t>Does it look like EBV / mononucleosis?</w:t>
      </w:r>
    </w:p>
    <w:p>
      <w:pPr>
        <w:pStyle w:val="ListBullet"/>
        <w:spacing w:after="30"/>
        <w:ind w:left="360"/>
      </w:pPr>
      <w:r>
        <w:t>Marked fatigue</w:t>
      </w:r>
    </w:p>
    <w:p>
      <w:pPr>
        <w:pStyle w:val="ListBullet"/>
        <w:spacing w:after="30"/>
        <w:ind w:left="360"/>
      </w:pPr>
      <w:r>
        <w:t>Exudative pharyngitis</w:t>
      </w:r>
    </w:p>
    <w:p>
      <w:pPr>
        <w:pStyle w:val="ListBullet"/>
        <w:spacing w:after="30"/>
        <w:ind w:left="360"/>
      </w:pPr>
      <w:r>
        <w:t>Posterior cervical lymphadenopathy</w:t>
      </w:r>
    </w:p>
    <w:p>
      <w:pPr>
        <w:pStyle w:val="ListBullet"/>
        <w:spacing w:after="30"/>
        <w:ind w:left="360"/>
      </w:pPr>
      <w:r>
        <w:t>Generalized lymphadenopathy</w:t>
      </w:r>
    </w:p>
    <w:p>
      <w:pPr>
        <w:pStyle w:val="ListBullet"/>
        <w:spacing w:after="30"/>
        <w:ind w:left="360"/>
      </w:pPr>
      <w:r>
        <w:t>Possible splenomegaly</w:t>
      </w:r>
    </w:p>
    <w:p>
      <w:r>
        <w:rPr>
          <w:b/>
        </w:rPr>
        <w:t xml:space="preserve">Consider: </w:t>
      </w:r>
      <w:r>
        <w:t>CBC with differential + Monospot/EBV testing when clinically appropriate.</w:t>
      </w:r>
    </w:p>
    <w:p>
      <w:pPr>
        <w:pStyle w:val="Heading1"/>
      </w:pPr>
      <w:r>
        <w:t>3. Centor / Modified Centor (McIsaac) Score</w:t>
      </w:r>
    </w:p>
    <w:p>
      <w:pPr>
        <w:spacing w:after="80"/>
      </w:pPr>
      <w:r>
        <w:t>Used to estimate the likelihood of GAS pharyngitis and help determine whether GAS testing is appropriate.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2F0D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sz w:val="16"/>
              </w:rPr>
              <w:t>Finding</w:t>
            </w:r>
          </w:p>
        </w:tc>
        <w:tc>
          <w:tcPr>
            <w:tcW w:type="dxa" w:w="5256"/>
            <w:shd w:fill="E2F0D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sz w:val="16"/>
              </w:rPr>
              <w:t>Points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Tonsillar exudate or swelling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+1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Tender anterior cervical lymphadenopathy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+1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Fever &gt;38°C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+1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Absence of cough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+1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Age 3–14 years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+1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Age 15–44 years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Age ≥45 years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−1</w:t>
            </w:r>
          </w:p>
        </w:tc>
      </w:tr>
    </w:tbl>
    <w:p>
      <w:r>
        <w:rPr>
          <w:b/>
        </w:rPr>
        <w:t xml:space="preserve">How to use it: </w:t>
      </w:r>
      <w:r>
        <w:t>A lower score means GAS is less likely; as the score increases, the probability of GAS increases and testing becomes more appropriate.</w:t>
      </w:r>
    </w:p>
    <w:p>
      <w:r>
        <w:rPr>
          <w:b/>
        </w:rPr>
        <w:t>Key point: Centor does not diagnose strep on its own. It estimates pretest probability and supports testing decisions.</w:t>
      </w:r>
    </w:p>
    <w:p>
      <w:pPr>
        <w:pStyle w:val="Heading1"/>
      </w:pPr>
      <w:r>
        <w:t>4. Sore Throat Score</w:t>
      </w:r>
    </w:p>
    <w:p>
      <w:r>
        <w:t>The Sore Throat Score uses the same major clinical predictors for GAS:</w:t>
      </w:r>
    </w:p>
    <w:p>
      <w:pPr>
        <w:pStyle w:val="ListBullet"/>
        <w:spacing w:after="30"/>
        <w:ind w:left="360"/>
      </w:pPr>
      <w:r>
        <w:t>Temperature &gt;38°C</w:t>
      </w:r>
    </w:p>
    <w:p>
      <w:pPr>
        <w:pStyle w:val="ListBullet"/>
        <w:spacing w:after="30"/>
        <w:ind w:left="360"/>
      </w:pPr>
      <w:r>
        <w:t>Absence of cough</w:t>
      </w:r>
    </w:p>
    <w:p>
      <w:pPr>
        <w:pStyle w:val="ListBullet"/>
        <w:spacing w:after="30"/>
        <w:ind w:left="360"/>
      </w:pPr>
      <w:r>
        <w:t>Swollen/tender anterior cervical nodes</w:t>
      </w:r>
    </w:p>
    <w:p>
      <w:pPr>
        <w:pStyle w:val="ListBullet"/>
        <w:spacing w:after="30"/>
        <w:ind w:left="360"/>
      </w:pPr>
      <w:r>
        <w:t>Tonsillar swelling or exudate</w:t>
      </w:r>
    </w:p>
    <w:p>
      <w:pPr>
        <w:pStyle w:val="ListBullet"/>
        <w:spacing w:after="30"/>
        <w:ind w:left="360"/>
      </w:pPr>
      <w:r>
        <w:t>Age adjustment</w:t>
      </w:r>
    </w:p>
    <w:p>
      <w:r>
        <w:rPr>
          <w:b/>
        </w:rPr>
        <w:t xml:space="preserve">Purpose: </w:t>
      </w:r>
      <w:r>
        <w:t>Clinical findings → estimate probability of GAS → determine whether testing or treatment consideration is appropriate according to the guideline being used.</w:t>
      </w:r>
    </w:p>
    <w:p>
      <w:pPr>
        <w:spacing w:before="120" w:after="120"/>
      </w:pPr>
      <w:r>
        <w:rPr>
          <w:b/>
          <w:color w:val="C00000"/>
        </w:rPr>
        <w:t>HIGH-YIELD NODE DISTINCTION</w:t>
      </w:r>
    </w:p>
    <w:p>
      <w:pPr>
        <w:pStyle w:val="ListBullet"/>
        <w:spacing w:after="30"/>
        <w:ind w:left="360"/>
      </w:pPr>
      <w:r>
        <w:t>GAS pharyngitis: tender ANTERIOR cervical lymph nodes</w:t>
      </w:r>
    </w:p>
    <w:p>
      <w:pPr>
        <w:pStyle w:val="ListBullet"/>
        <w:spacing w:after="30"/>
        <w:ind w:left="360"/>
      </w:pPr>
      <w:r>
        <w:t>EBV / mononucleosis: classically POSTERIOR cervical lymph nodes</w:t>
      </w:r>
    </w:p>
    <w:p>
      <w:pPr>
        <w:pStyle w:val="Heading1"/>
      </w:pPr>
      <w:r>
        <w:t>5. Quick Reference: Presentation → Investigation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FF2C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sz w:val="16"/>
              </w:rPr>
              <w:t>Clinical presentation</w:t>
            </w:r>
          </w:p>
        </w:tc>
        <w:tc>
          <w:tcPr>
            <w:tcW w:type="dxa" w:w="5256"/>
            <w:shd w:fill="FFF2C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sz w:val="16"/>
              </w:rPr>
              <w:t>Think about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Possible GAS pharyngitis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Centor/Sore Throat Score → RADT +/- throat culture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Exudative throat + marked fatigue + posterior nodes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CBC + differential + Monospot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Unusual/recurrent bacterial infection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Site-specific C&amp;S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Persistent/systemic inflammation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CBC +/- ESR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Thyroid symptoms or goiter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TSH +/- free T4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Possible fungal infection or treatment failure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Fungal culture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Hearing loss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Audiometry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Middle-ear effusion / eustachian tube dysfunction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6"/>
              </w:rPr>
              <w:t>Tympanometry</w:t>
            </w:r>
          </w:p>
        </w:tc>
      </w:tr>
    </w:tbl>
    <w:p>
      <w:pPr>
        <w:spacing w:before="140"/>
        <w:jc w:val="center"/>
      </w:pPr>
      <w:r>
        <w:rPr>
          <w:b/>
          <w:color w:val="1F4E79"/>
          <w:sz w:val="19"/>
        </w:rPr>
        <w:t>Audiometry = “Can they hear?”    |    Tympanometry = “Is the middle ear / TM functioning normally?”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5F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