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OSCE Practice Case Source Material</w:t>
      </w:r>
    </w:p>
    <w:p>
      <w:pPr>
        <w:jc w:val="center"/>
      </w:pPr>
      <w:r>
        <w:rPr>
          <w:b/>
        </w:rPr>
        <w:t>Acute Otitis Media and Rosacea</w:t>
      </w:r>
    </w:p>
    <w:p>
      <w:pPr>
        <w:jc w:val="center"/>
      </w:pPr>
      <w:r>
        <w:t>Structured case information for use in an OSCE study build</w:t>
      </w:r>
    </w:p>
    <w:p>
      <w:r/>
    </w:p>
    <w:p>
      <w:pPr>
        <w:pStyle w:val="Heading1"/>
      </w:pPr>
      <w:r>
        <w:t>Contents</w:t>
      </w:r>
    </w:p>
    <w:p>
      <w:pPr>
        <w:pStyle w:val="ListNumber"/>
      </w:pPr>
      <w:r>
        <w:t>Pediatric acute otitis media</w:t>
      </w:r>
    </w:p>
    <w:p>
      <w:pPr>
        <w:pStyle w:val="ListNumber"/>
      </w:pPr>
      <w:r>
        <w:t>Adult rosacea</w:t>
      </w:r>
    </w:p>
    <w:p>
      <w:r>
        <w:br w:type="page"/>
      </w:r>
    </w:p>
    <w:p>
      <w:pPr>
        <w:pStyle w:val="Heading1"/>
      </w:pPr>
      <w:r>
        <w:t>OSCE Station 1 Pediatric Acute Otitis Media</w:t>
      </w:r>
    </w:p>
    <w:p>
      <w:r>
        <w:t>You are seeing a pediatric patient in a primary care clinic, accompanied by a parent or caregiver. Take a focused history from the caregiver, review the simulated otoscopic examination findings, and communicate your working diagnosis and plan. You have 15 minutes before feedback.</w:t>
      </w:r>
    </w:p>
    <w:p>
      <w:pPr>
        <w:pStyle w:val="ListBullet"/>
      </w:pPr>
      <w:r>
        <w:rPr>
          <w:b/>
        </w:rPr>
        <w:t xml:space="preserve">Presenting complaint: </w:t>
      </w:r>
      <w:r>
        <w:t>“My child has been pulling at their ear and crying all night.”</w:t>
      </w:r>
    </w:p>
    <w:p>
      <w:pPr>
        <w:pStyle w:val="Heading2"/>
      </w:pPr>
      <w:r>
        <w:t>Standardized Patient</w:t>
      </w:r>
    </w:p>
    <w:p>
      <w:r>
        <w:t>Caregiver tells you: “She’s been tugging at her right ear since yesterday and had a fever last night. She barely slept.”</w:t>
      </w:r>
    </w:p>
    <w:p>
      <w:pPr>
        <w:pStyle w:val="Heading2"/>
      </w:pPr>
      <w:r>
        <w:t>History Reveal Only if Asked</w:t>
      </w:r>
    </w:p>
    <w:p>
      <w:pPr>
        <w:pStyle w:val="ListBullet"/>
      </w:pPr>
      <w:r>
        <w:rPr>
          <w:b/>
        </w:rPr>
        <w:t xml:space="preserve">Age and sex: </w:t>
      </w:r>
      <w:r>
        <w:t>2-year-old girl</w:t>
      </w:r>
    </w:p>
    <w:p>
      <w:pPr>
        <w:pStyle w:val="ListBullet"/>
      </w:pPr>
      <w:r>
        <w:rPr>
          <w:b/>
        </w:rPr>
        <w:t xml:space="preserve">Onset: </w:t>
      </w:r>
      <w:r>
        <w:t>Ear tugging and fussiness started approximately 36 hours ago and worsened overnight</w:t>
      </w:r>
    </w:p>
    <w:p>
      <w:pPr>
        <w:pStyle w:val="ListBullet"/>
      </w:pPr>
      <w:r>
        <w:rPr>
          <w:b/>
        </w:rPr>
        <w:t xml:space="preserve">Symptoms: </w:t>
      </w:r>
      <w:r>
        <w:t>Subjective fever or felt warm, irritability, decreased appetite, disrupted sleep, no ear discharge</w:t>
      </w:r>
    </w:p>
    <w:p>
      <w:pPr>
        <w:pStyle w:val="ListBullet"/>
      </w:pPr>
      <w:r>
        <w:rPr>
          <w:b/>
        </w:rPr>
        <w:t xml:space="preserve">Preceding illness: </w:t>
      </w:r>
      <w:r>
        <w:t>Runny nose and mild cough beginning approximately 5 days ago. Upper respiratory infection preceding AOM is classic.</w:t>
      </w:r>
    </w:p>
    <w:p>
      <w:pPr>
        <w:pStyle w:val="ListBullet"/>
      </w:pPr>
      <w:r>
        <w:rPr>
          <w:b/>
        </w:rPr>
        <w:t xml:space="preserve">Denies: </w:t>
      </w:r>
      <w:r>
        <w:t>Vomiting, rash, neck stiffness, lethargy, or tugging or pain in both ears. Symptoms are unilateral.</w:t>
      </w:r>
    </w:p>
    <w:p>
      <w:pPr>
        <w:pStyle w:val="ListBullet"/>
      </w:pPr>
      <w:r>
        <w:rPr>
          <w:b/>
        </w:rPr>
        <w:t xml:space="preserve">Daycare: </w:t>
      </w:r>
      <w:r>
        <w:t>Attends daycare 3 days per week. A few other children have recently had colds.</w:t>
      </w:r>
    </w:p>
    <w:p>
      <w:pPr>
        <w:pStyle w:val="ListBullet"/>
      </w:pPr>
      <w:r>
        <w:rPr>
          <w:b/>
        </w:rPr>
        <w:t xml:space="preserve">Past medical history: </w:t>
      </w:r>
      <w:r>
        <w:t>Born full term, no chronic conditions, no previous ear infections</w:t>
      </w:r>
    </w:p>
    <w:p>
      <w:pPr>
        <w:pStyle w:val="ListBullet"/>
      </w:pPr>
      <w:r>
        <w:rPr>
          <w:b/>
        </w:rPr>
        <w:t xml:space="preserve">Medications: </w:t>
      </w:r>
      <w:r>
        <w:t>Caregiver gave weight-based acetaminophen last night with some relief</w:t>
      </w:r>
    </w:p>
    <w:p>
      <w:pPr>
        <w:pStyle w:val="ListBullet"/>
      </w:pPr>
      <w:r>
        <w:rPr>
          <w:b/>
        </w:rPr>
        <w:t xml:space="preserve">Allergies: </w:t>
      </w:r>
      <w:r>
        <w:t>NKDA</w:t>
      </w:r>
    </w:p>
    <w:p>
      <w:pPr>
        <w:pStyle w:val="ListBullet"/>
      </w:pPr>
      <w:r>
        <w:rPr>
          <w:b/>
        </w:rPr>
        <w:t xml:space="preserve">Immunizations: </w:t>
      </w:r>
      <w:r>
        <w:t>Up to date, including pneumococcal conjugate vaccine (PCV)</w:t>
      </w:r>
    </w:p>
    <w:p>
      <w:pPr>
        <w:pStyle w:val="ListBullet"/>
      </w:pPr>
      <w:r>
        <w:rPr>
          <w:b/>
        </w:rPr>
        <w:t xml:space="preserve">Feeding: </w:t>
      </w:r>
      <w:r>
        <w:t>No bottle-propping or supine feeding reported</w:t>
      </w:r>
    </w:p>
    <w:p>
      <w:pPr>
        <w:pStyle w:val="ListBullet"/>
      </w:pPr>
      <w:r>
        <w:rPr>
          <w:b/>
        </w:rPr>
        <w:t xml:space="preserve">Smoke exposure: </w:t>
      </w:r>
      <w:r>
        <w:t>None in the home</w:t>
      </w:r>
    </w:p>
    <w:p>
      <w:pPr>
        <w:pStyle w:val="Heading2"/>
      </w:pPr>
      <w:r>
        <w:t>Red Flags Answer No Unless Specifically Asked</w:t>
      </w:r>
    </w:p>
    <w:p>
      <w:pPr>
        <w:pStyle w:val="ListBullet"/>
      </w:pPr>
      <w:r>
        <w:t>No stiff neck, bulging fontanelle if younger, persistent vomiting, lethargy or poor arousability, or facial droop</w:t>
      </w:r>
    </w:p>
    <w:p>
      <w:pPr>
        <w:pStyle w:val="ListBullet"/>
      </w:pPr>
      <w:r>
        <w:t>No mastoid swelling, redness, or tenderness behind the ear</w:t>
      </w:r>
    </w:p>
    <w:p>
      <w:pPr>
        <w:pStyle w:val="ListBullet"/>
      </w:pPr>
      <w:r>
        <w:t>No ear discharge, which would suggest tympanic membrane perforation</w:t>
      </w:r>
    </w:p>
    <w:p>
      <w:pPr>
        <w:pStyle w:val="Heading2"/>
      </w:pPr>
      <w:r>
        <w:t>Vitals</w:t>
      </w:r>
    </w:p>
    <w:p>
      <w:pPr>
        <w:pStyle w:val="ListBullet"/>
      </w:pPr>
      <w:r>
        <w:rPr>
          <w:b/>
        </w:rPr>
        <w:t xml:space="preserve">Temperature: </w:t>
      </w:r>
      <w:r>
        <w:t>38.9°C, tympanic</w:t>
      </w:r>
    </w:p>
    <w:p>
      <w:pPr>
        <w:pStyle w:val="ListBullet"/>
      </w:pPr>
      <w:r>
        <w:rPr>
          <w:b/>
        </w:rPr>
        <w:t xml:space="preserve">Heart rate: </w:t>
      </w:r>
      <w:r>
        <w:t>118</w:t>
      </w:r>
    </w:p>
    <w:p>
      <w:pPr>
        <w:pStyle w:val="ListBullet"/>
      </w:pPr>
      <w:r>
        <w:rPr>
          <w:b/>
        </w:rPr>
        <w:t xml:space="preserve">Respiratory rate: </w:t>
      </w:r>
      <w:r>
        <w:t>26</w:t>
      </w:r>
    </w:p>
    <w:p>
      <w:pPr>
        <w:pStyle w:val="ListBullet"/>
      </w:pPr>
      <w:r>
        <w:rPr>
          <w:b/>
        </w:rPr>
        <w:t xml:space="preserve">Weight: </w:t>
      </w:r>
      <w:r>
        <w:t>13 kg</w:t>
      </w:r>
    </w:p>
    <w:p>
      <w:pPr>
        <w:pStyle w:val="ListBullet"/>
      </w:pPr>
      <w:r>
        <w:rPr>
          <w:b/>
        </w:rPr>
        <w:t xml:space="preserve">General appearance: </w:t>
      </w:r>
      <w:r>
        <w:t>Fussy but consolable and interactive when distracted</w:t>
      </w:r>
    </w:p>
    <w:p>
      <w:pPr>
        <w:pStyle w:val="Heading2"/>
      </w:pPr>
      <w:r>
        <w:t>Otoscopic Examination Findings</w:t>
      </w:r>
    </w:p>
    <w:p>
      <w:pPr>
        <w:pStyle w:val="ListBullet"/>
      </w:pPr>
      <w:r>
        <w:rPr>
          <w:b/>
        </w:rPr>
        <w:t xml:space="preserve">Right tympanic membrane: </w:t>
      </w:r>
      <w:r>
        <w:t>Bulging, erythematous, and opaque, with loss of normal landmarks and reduced mobility on pneumatic otoscopy</w:t>
      </w:r>
    </w:p>
    <w:p>
      <w:pPr>
        <w:pStyle w:val="ListBullet"/>
      </w:pPr>
      <w:r>
        <w:rPr>
          <w:b/>
        </w:rPr>
        <w:t xml:space="preserve">Left tympanic membrane: </w:t>
      </w:r>
      <w:r>
        <w:t>Normal, pearly grey, landmarks visible, and intact light reflex</w:t>
      </w:r>
    </w:p>
    <w:p>
      <w:pPr>
        <w:pStyle w:val="ListBullet"/>
      </w:pPr>
      <w:r>
        <w:t>No perforation or discharge</w:t>
      </w:r>
    </w:p>
    <w:p>
      <w:pPr>
        <w:pStyle w:val="ListBullet"/>
      </w:pPr>
      <w:r>
        <w:t>External canals normal bilaterally</w:t>
      </w:r>
    </w:p>
    <w:p>
      <w:pPr>
        <w:pStyle w:val="Heading2"/>
      </w:pPr>
      <w:r>
        <w:t>Diagnostic Criteria Reference</w:t>
      </w:r>
    </w:p>
    <w:tbl>
      <w:tblPr>
        <w:tblW w:type="auto" w:w="0"/>
        <w:tblLayout w:type="fixed"/>
        <w:tblLook w:firstColumn="1" w:firstRow="1" w:lastColumn="0" w:lastRow="0" w:noHBand="0" w:noVBand="1" w:val="04A0"/>
      </w:tblPr>
      <w:tblGrid>
        <w:gridCol w:w="3456"/>
        <w:gridCol w:w="6048"/>
      </w:tblGrid>
      <w:tr>
        <w:trPr>
          <w:tblHeader w:val="true"/>
        </w:trPr>
        <w:tc>
          <w:tcPr>
            <w:tcW w:type="dxa" w:w="4968"/>
            <w:shd w:fill="1F4E78"/>
            <w:tcMar>
              <w:top w:w="90" w:type="dxa"/>
              <w:start w:w="110" w:type="dxa"/>
              <w:bottom w:w="90" w:type="dxa"/>
              <w:end w:w="110" w:type="dxa"/>
            </w:tcMar>
          </w:tcPr>
          <w:p>
            <w:r>
              <w:rPr>
                <w:b/>
                <w:color w:val="FFFFFF"/>
              </w:rPr>
              <w:t>Criterion</w:t>
            </w:r>
          </w:p>
        </w:tc>
        <w:tc>
          <w:tcPr>
            <w:tcW w:type="dxa" w:w="4968"/>
            <w:shd w:fill="1F4E78"/>
            <w:tcMar>
              <w:top w:w="90" w:type="dxa"/>
              <w:start w:w="110" w:type="dxa"/>
              <w:bottom w:w="90" w:type="dxa"/>
              <w:end w:w="110" w:type="dxa"/>
            </w:tcMar>
          </w:tcPr>
          <w:p>
            <w:r>
              <w:rPr>
                <w:b/>
                <w:color w:val="FFFFFF"/>
              </w:rPr>
              <w:t>Finding in This Case</w:t>
            </w:r>
          </w:p>
        </w:tc>
      </w:tr>
      <w:tr>
        <w:tc>
          <w:tcPr>
            <w:tcW w:type="dxa" w:w="3456"/>
            <w:tcMar>
              <w:top w:w="90" w:type="dxa"/>
              <w:start w:w="110" w:type="dxa"/>
              <w:bottom w:w="90" w:type="dxa"/>
              <w:end w:w="110" w:type="dxa"/>
            </w:tcMar>
          </w:tcPr>
          <w:p>
            <w:r>
              <w:t>Acute onset of symptoms</w:t>
            </w:r>
          </w:p>
        </w:tc>
        <w:tc>
          <w:tcPr>
            <w:tcW w:type="dxa" w:w="6048"/>
            <w:tcMar>
              <w:top w:w="90" w:type="dxa"/>
              <w:start w:w="110" w:type="dxa"/>
              <w:bottom w:w="90" w:type="dxa"/>
              <w:end w:w="110" w:type="dxa"/>
            </w:tcMar>
          </w:tcPr>
          <w:p>
            <w:r>
              <w:t>Yes, approximately 36 hours</w:t>
            </w:r>
          </w:p>
        </w:tc>
      </w:tr>
      <w:tr>
        <w:tc>
          <w:tcPr>
            <w:tcW w:type="dxa" w:w="3456"/>
            <w:shd w:fill="EAF2F8"/>
            <w:tcMar>
              <w:top w:w="90" w:type="dxa"/>
              <w:start w:w="110" w:type="dxa"/>
              <w:bottom w:w="90" w:type="dxa"/>
              <w:end w:w="110" w:type="dxa"/>
            </w:tcMar>
          </w:tcPr>
          <w:p>
            <w:r>
              <w:t>Middle-ear effusion</w:t>
            </w:r>
          </w:p>
        </w:tc>
        <w:tc>
          <w:tcPr>
            <w:tcW w:type="dxa" w:w="6048"/>
            <w:shd w:fill="EAF2F8"/>
            <w:tcMar>
              <w:top w:w="90" w:type="dxa"/>
              <w:start w:w="110" w:type="dxa"/>
              <w:bottom w:w="90" w:type="dxa"/>
              <w:end w:w="110" w:type="dxa"/>
            </w:tcMar>
          </w:tcPr>
          <w:p>
            <w:r>
              <w:t>Yes, bulging and reduced tympanic membrane mobility</w:t>
            </w:r>
          </w:p>
        </w:tc>
      </w:tr>
      <w:tr>
        <w:tc>
          <w:tcPr>
            <w:tcW w:type="dxa" w:w="3456"/>
            <w:tcMar>
              <w:top w:w="90" w:type="dxa"/>
              <w:start w:w="110" w:type="dxa"/>
              <w:bottom w:w="90" w:type="dxa"/>
              <w:end w:w="110" w:type="dxa"/>
            </w:tcMar>
          </w:tcPr>
          <w:p>
            <w:r>
              <w:t>Signs or symptoms of middle-ear inflammation</w:t>
            </w:r>
          </w:p>
        </w:tc>
        <w:tc>
          <w:tcPr>
            <w:tcW w:type="dxa" w:w="6048"/>
            <w:tcMar>
              <w:top w:w="90" w:type="dxa"/>
              <w:start w:w="110" w:type="dxa"/>
              <w:bottom w:w="90" w:type="dxa"/>
              <w:end w:w="110" w:type="dxa"/>
            </w:tcMar>
          </w:tcPr>
          <w:p>
            <w:r>
              <w:t>Yes, erythema of tympanic membrane plus irritability and fever</w:t>
            </w:r>
          </w:p>
        </w:tc>
      </w:tr>
      <w:tr>
        <w:tc>
          <w:tcPr>
            <w:tcW w:type="dxa" w:w="3456"/>
            <w:shd w:fill="EAF2F8"/>
            <w:tcMar>
              <w:top w:w="90" w:type="dxa"/>
              <w:start w:w="110" w:type="dxa"/>
              <w:bottom w:w="90" w:type="dxa"/>
              <w:end w:w="110" w:type="dxa"/>
            </w:tcMar>
          </w:tcPr>
          <w:p>
            <w:r>
              <w:t>Laterality</w:t>
            </w:r>
          </w:p>
        </w:tc>
        <w:tc>
          <w:tcPr>
            <w:tcW w:type="dxa" w:w="6048"/>
            <w:shd w:fill="EAF2F8"/>
            <w:tcMar>
              <w:top w:w="90" w:type="dxa"/>
              <w:start w:w="110" w:type="dxa"/>
              <w:bottom w:w="90" w:type="dxa"/>
              <w:end w:w="110" w:type="dxa"/>
            </w:tcMar>
          </w:tcPr>
          <w:p>
            <w:r>
              <w:t>Unilateral, right</w:t>
            </w:r>
          </w:p>
        </w:tc>
      </w:tr>
      <w:tr>
        <w:tc>
          <w:tcPr>
            <w:tcW w:type="dxa" w:w="3456"/>
            <w:tcMar>
              <w:top w:w="90" w:type="dxa"/>
              <w:start w:w="110" w:type="dxa"/>
              <w:bottom w:w="90" w:type="dxa"/>
              <w:end w:w="110" w:type="dxa"/>
            </w:tcMar>
          </w:tcPr>
          <w:p>
            <w:r>
              <w:t>Severity</w:t>
            </w:r>
          </w:p>
        </w:tc>
        <w:tc>
          <w:tcPr>
            <w:tcW w:type="dxa" w:w="6048"/>
            <w:tcMar>
              <w:top w:w="90" w:type="dxa"/>
              <w:start w:w="110" w:type="dxa"/>
              <w:bottom w:w="90" w:type="dxa"/>
              <w:end w:w="110" w:type="dxa"/>
            </w:tcMar>
          </w:tcPr>
          <w:p>
            <w:r>
              <w:t>Moderate to severe. Marked bulging and fever ≥39°C would push to severe.</w:t>
            </w:r>
          </w:p>
        </w:tc>
      </w:tr>
    </w:tbl>
    <w:p>
      <w:r>
        <w:t>This presentation meets the diagnostic criteria for AOM. The candidate should discuss watchful waiting versus immediate antibiotics based on age, severity, and laterality. Exact prescribing decisions can be deferred if not yet covered in the curriculum. Focus on the reasoning framework.</w:t>
      </w:r>
    </w:p>
    <w:p>
      <w:pPr>
        <w:pStyle w:val="Heading2"/>
      </w:pPr>
      <w:r>
        <w:t>Assessment Checklist</w:t>
      </w:r>
    </w:p>
    <w:p>
      <w:pPr>
        <w:pStyle w:val="Heading3"/>
      </w:pPr>
      <w:r>
        <w:t>History</w:t>
      </w:r>
    </w:p>
    <w:p>
      <w:pPr>
        <w:ind w:left="288" w:hanging="288"/>
      </w:pPr>
      <w:r>
        <w:rPr>
          <w:rFonts w:ascii="DejaVu Sans" w:hAnsi="DejaVu Sans"/>
        </w:rPr>
        <w:t xml:space="preserve">☐ </w:t>
      </w:r>
      <w:r>
        <w:t>Introduces self, confirms patient or caregiver identity, and explains purpose</w:t>
      </w:r>
    </w:p>
    <w:p>
      <w:pPr>
        <w:ind w:left="288" w:hanging="288"/>
      </w:pPr>
      <w:r>
        <w:rPr>
          <w:rFonts w:ascii="DejaVu Sans" w:hAnsi="DejaVu Sans"/>
        </w:rPr>
        <w:t xml:space="preserve">☐ </w:t>
      </w:r>
      <w:r>
        <w:t>Elicits onset, duration, and laterality of ear symptoms</w:t>
      </w:r>
    </w:p>
    <w:p>
      <w:pPr>
        <w:ind w:left="288" w:hanging="288"/>
      </w:pPr>
      <w:r>
        <w:rPr>
          <w:rFonts w:ascii="DejaVu Sans" w:hAnsi="DejaVu Sans"/>
        </w:rPr>
        <w:t xml:space="preserve">☐ </w:t>
      </w:r>
      <w:r>
        <w:t>Asks about associated symptoms: fever, irritability, sleep or appetite changes, and discharge</w:t>
      </w:r>
    </w:p>
    <w:p>
      <w:pPr>
        <w:ind w:left="288" w:hanging="288"/>
      </w:pPr>
      <w:r>
        <w:rPr>
          <w:rFonts w:ascii="DejaVu Sans" w:hAnsi="DejaVu Sans"/>
        </w:rPr>
        <w:t xml:space="preserve">☐ </w:t>
      </w:r>
      <w:r>
        <w:t>Asks about preceding URI symptoms</w:t>
      </w:r>
    </w:p>
    <w:p>
      <w:pPr>
        <w:ind w:left="288" w:hanging="288"/>
      </w:pPr>
      <w:r>
        <w:rPr>
          <w:rFonts w:ascii="DejaVu Sans" w:hAnsi="DejaVu Sans"/>
        </w:rPr>
        <w:t xml:space="preserve">☐ </w:t>
      </w:r>
      <w:r>
        <w:t>Screens for red flags: lethargy, stiff neck, mastoid swelling, and persistent vomiting</w:t>
      </w:r>
    </w:p>
    <w:p>
      <w:pPr>
        <w:ind w:left="288" w:hanging="288"/>
      </w:pPr>
      <w:r>
        <w:rPr>
          <w:rFonts w:ascii="DejaVu Sans" w:hAnsi="DejaVu Sans"/>
        </w:rPr>
        <w:t xml:space="preserve">☐ </w:t>
      </w:r>
      <w:r>
        <w:t>Asks about risk factors: daycare, smoke exposure, feeding position, and previous ear infections</w:t>
      </w:r>
    </w:p>
    <w:p>
      <w:pPr>
        <w:ind w:left="288" w:hanging="288"/>
      </w:pPr>
      <w:r>
        <w:rPr>
          <w:rFonts w:ascii="DejaVu Sans" w:hAnsi="DejaVu Sans"/>
        </w:rPr>
        <w:t xml:space="preserve">☐ </w:t>
      </w:r>
      <w:r>
        <w:t>Reviews immunization status, including PCV</w:t>
      </w:r>
    </w:p>
    <w:p>
      <w:pPr>
        <w:ind w:left="288" w:hanging="288"/>
      </w:pPr>
      <w:r>
        <w:rPr>
          <w:rFonts w:ascii="DejaVu Sans" w:hAnsi="DejaVu Sans"/>
        </w:rPr>
        <w:t xml:space="preserve">☐ </w:t>
      </w:r>
      <w:r>
        <w:t>Uses caregiver-appropriate, empathetic communication because the patient is a child</w:t>
      </w:r>
    </w:p>
    <w:p>
      <w:pPr>
        <w:pStyle w:val="Heading3"/>
      </w:pPr>
      <w:r>
        <w:t>Physical Examination</w:t>
      </w:r>
    </w:p>
    <w:p>
      <w:pPr>
        <w:ind w:left="288" w:hanging="288"/>
      </w:pPr>
      <w:r>
        <w:rPr>
          <w:rFonts w:ascii="DejaVu Sans" w:hAnsi="DejaVu Sans"/>
        </w:rPr>
        <w:t xml:space="preserve">☐ </w:t>
      </w:r>
      <w:r>
        <w:t>States intent to check vital signs and weight</w:t>
      </w:r>
    </w:p>
    <w:p>
      <w:pPr>
        <w:ind w:left="288" w:hanging="288"/>
      </w:pPr>
      <w:r>
        <w:rPr>
          <w:rFonts w:ascii="DejaVu Sans" w:hAnsi="DejaVu Sans"/>
        </w:rPr>
        <w:t xml:space="preserve">☐ </w:t>
      </w:r>
      <w:r>
        <w:t>Requests and interprets otoscopic findings for both ears</w:t>
      </w:r>
    </w:p>
    <w:p>
      <w:pPr>
        <w:ind w:left="288" w:hanging="288"/>
      </w:pPr>
      <w:r>
        <w:rPr>
          <w:rFonts w:ascii="DejaVu Sans" w:hAnsi="DejaVu Sans"/>
        </w:rPr>
        <w:t xml:space="preserve">☐ </w:t>
      </w:r>
      <w:r>
        <w:t>Asks about or notes pneumatic otoscopy and tympanic membrane mobility</w:t>
      </w:r>
    </w:p>
    <w:p>
      <w:pPr>
        <w:ind w:left="288" w:hanging="288"/>
      </w:pPr>
      <w:r>
        <w:rPr>
          <w:rFonts w:ascii="DejaVu Sans" w:hAnsi="DejaVu Sans"/>
        </w:rPr>
        <w:t xml:space="preserve">☐ </w:t>
      </w:r>
      <w:r>
        <w:t>Checks for mastoid tenderness or swelling</w:t>
      </w:r>
    </w:p>
    <w:p>
      <w:pPr>
        <w:ind w:left="288" w:hanging="288"/>
      </w:pPr>
      <w:r>
        <w:rPr>
          <w:rFonts w:ascii="DejaVu Sans" w:hAnsi="DejaVu Sans"/>
        </w:rPr>
        <w:t xml:space="preserve">☐ </w:t>
      </w:r>
      <w:r>
        <w:t>Assesses general appearance and hydration status</w:t>
      </w:r>
    </w:p>
    <w:p>
      <w:pPr>
        <w:pStyle w:val="Heading3"/>
      </w:pPr>
      <w:r>
        <w:t>Clinical Reasoning</w:t>
      </w:r>
    </w:p>
    <w:p>
      <w:pPr>
        <w:ind w:left="288" w:hanging="288"/>
      </w:pPr>
      <w:r>
        <w:rPr>
          <w:rFonts w:ascii="DejaVu Sans" w:hAnsi="DejaVu Sans"/>
        </w:rPr>
        <w:t xml:space="preserve">☐ </w:t>
      </w:r>
      <w:r>
        <w:t>Applies diagnostic criteria correctly: acute onset, effusion, and inflammation</w:t>
      </w:r>
    </w:p>
    <w:p>
      <w:pPr>
        <w:ind w:left="288" w:hanging="288"/>
      </w:pPr>
      <w:r>
        <w:rPr>
          <w:rFonts w:ascii="DejaVu Sans" w:hAnsi="DejaVu Sans"/>
        </w:rPr>
        <w:t xml:space="preserve">☐ </w:t>
      </w:r>
      <w:r>
        <w:t>Distinguishes AOM from otitis media with effusion and otitis externa</w:t>
      </w:r>
    </w:p>
    <w:p>
      <w:pPr>
        <w:ind w:left="288" w:hanging="288"/>
      </w:pPr>
      <w:r>
        <w:rPr>
          <w:rFonts w:ascii="DejaVu Sans" w:hAnsi="DejaVu Sans"/>
        </w:rPr>
        <w:t xml:space="preserve">☐ </w:t>
      </w:r>
      <w:r>
        <w:t>Discusses watchful waiting versus antibiotic therapy with appropriate rationale based on age, severity, and laterality</w:t>
      </w:r>
    </w:p>
    <w:p>
      <w:pPr>
        <w:ind w:left="288" w:hanging="288"/>
      </w:pPr>
      <w:r>
        <w:rPr>
          <w:rFonts w:ascii="DejaVu Sans" w:hAnsi="DejaVu Sans"/>
        </w:rPr>
        <w:t xml:space="preserve">☐ </w:t>
      </w:r>
      <w:r>
        <w:t>Identifies the need for follow-up and safety-netting</w:t>
      </w:r>
    </w:p>
    <w:p>
      <w:pPr>
        <w:pStyle w:val="Heading3"/>
      </w:pPr>
      <w:r>
        <w:t>Communication</w:t>
      </w:r>
    </w:p>
    <w:p>
      <w:pPr>
        <w:ind w:left="288" w:hanging="288"/>
      </w:pPr>
      <w:r>
        <w:rPr>
          <w:rFonts w:ascii="DejaVu Sans" w:hAnsi="DejaVu Sans"/>
        </w:rPr>
        <w:t xml:space="preserve">☐ </w:t>
      </w:r>
      <w:r>
        <w:t>Explains findings and the plan using caregiver-friendly language</w:t>
      </w:r>
    </w:p>
    <w:p>
      <w:pPr>
        <w:ind w:left="288" w:hanging="288"/>
      </w:pPr>
      <w:r>
        <w:rPr>
          <w:rFonts w:ascii="DejaVu Sans" w:hAnsi="DejaVu Sans"/>
        </w:rPr>
        <w:t xml:space="preserve">☐ </w:t>
      </w:r>
      <w:r>
        <w:t>Addresses the caregiver’s concerns and answers questions</w:t>
      </w:r>
    </w:p>
    <w:p>
      <w:pPr>
        <w:ind w:left="288" w:hanging="288"/>
      </w:pPr>
      <w:r>
        <w:rPr>
          <w:rFonts w:ascii="DejaVu Sans" w:hAnsi="DejaVu Sans"/>
        </w:rPr>
        <w:t xml:space="preserve">☐ </w:t>
      </w:r>
      <w:r>
        <w:t>Discusses pain management, such as weight-based analgesia</w:t>
      </w:r>
    </w:p>
    <w:p>
      <w:pPr>
        <w:ind w:left="288" w:hanging="288"/>
      </w:pPr>
      <w:r>
        <w:rPr>
          <w:rFonts w:ascii="DejaVu Sans" w:hAnsi="DejaVu Sans"/>
        </w:rPr>
        <w:t xml:space="preserve">☐ </w:t>
      </w:r>
      <w:r>
        <w:t>Provides clear safety-netting regarding when to return: worsening fever, ear discharge, lethargy, or facial swelling</w:t>
      </w:r>
    </w:p>
    <w:p>
      <w:pPr>
        <w:ind w:left="288" w:hanging="288"/>
      </w:pPr>
      <w:r>
        <w:rPr>
          <w:rFonts w:ascii="DejaVu Sans" w:hAnsi="DejaVu Sans"/>
        </w:rPr>
        <w:t xml:space="preserve">☐ </w:t>
      </w:r>
      <w:r>
        <w:t>Demonstrates empathy and professionalism throughout</w:t>
      </w:r>
    </w:p>
    <w:p>
      <w:pPr>
        <w:pStyle w:val="Heading2"/>
      </w:pPr>
      <w:r>
        <w:t>Debrief Prompts</w:t>
      </w:r>
    </w:p>
    <w:p>
      <w:pPr>
        <w:pStyle w:val="ListBullet"/>
      </w:pPr>
      <w:r>
        <w:t>What features distinguish AOM from otitis media with effusion?</w:t>
      </w:r>
    </w:p>
    <w:p>
      <w:pPr>
        <w:pStyle w:val="ListBullet"/>
      </w:pPr>
      <w:r>
        <w:t>How would your management change if this were a 6-month-old instead of a 2-year-old?</w:t>
      </w:r>
    </w:p>
    <w:p>
      <w:pPr>
        <w:pStyle w:val="ListBullet"/>
      </w:pPr>
      <w:r>
        <w:t>What would make you consider watchful waiting rather than immediate antibiotics?</w:t>
      </w:r>
    </w:p>
    <w:p>
      <w:pPr>
        <w:pStyle w:val="ListBullet"/>
      </w:pPr>
      <w:r>
        <w:t>What anatomical factors make young children more prone to AOM?</w:t>
      </w:r>
    </w:p>
    <w:p>
      <w:pPr>
        <w:pStyle w:val="Heading2"/>
      </w:pPr>
      <w:r>
        <w:t>Facilitator Notes</w:t>
      </w:r>
    </w:p>
    <w:p>
      <w:pPr>
        <w:pStyle w:val="ListBullet"/>
      </w:pPr>
      <w:r>
        <w:t>Swap roles and repeat with an otitis media with effusion variant: no fever, no acute pain, tympanic membrane retracted or neutral with effusion but no bulging or erythema, and the caregiver reports only mild hearing concerns. This is useful for teaching the distinction between AOM and OME.</w:t>
      </w:r>
    </w:p>
    <w:p>
      <w:pPr>
        <w:pStyle w:val="ListBullet"/>
      </w:pPr>
      <w:r>
        <w:t>For a more advanced group, add a mastoiditis ‘spot the emergency’ variant: post-auricular swelling, erythema, tenderness, and protruding auricle.</w:t>
      </w:r>
    </w:p>
    <w:p>
      <w:r>
        <w:br w:type="page"/>
      </w:r>
    </w:p>
    <w:p>
      <w:pPr>
        <w:pStyle w:val="Heading1"/>
      </w:pPr>
      <w:r>
        <w:t>OSCE Station 2 Adult Rosacea</w:t>
      </w:r>
    </w:p>
    <w:p>
      <w:pPr>
        <w:pStyle w:val="Heading2"/>
      </w:pPr>
      <w:r>
        <w:t>Patient Background</w:t>
      </w:r>
    </w:p>
    <w:p>
      <w:pPr>
        <w:pStyle w:val="ListBullet"/>
      </w:pPr>
      <w:r>
        <w:rPr>
          <w:b/>
        </w:rPr>
        <w:t xml:space="preserve">Name: </w:t>
      </w:r>
      <w:r>
        <w:t>Shaminder</w:t>
      </w:r>
    </w:p>
    <w:p>
      <w:pPr>
        <w:pStyle w:val="ListBullet"/>
      </w:pPr>
      <w:r>
        <w:rPr>
          <w:b/>
        </w:rPr>
        <w:t xml:space="preserve">Age: </w:t>
      </w:r>
      <w:r>
        <w:t>34 years old</w:t>
      </w:r>
    </w:p>
    <w:p>
      <w:pPr>
        <w:pStyle w:val="ListBullet"/>
      </w:pPr>
      <w:r>
        <w:rPr>
          <w:b/>
        </w:rPr>
        <w:t xml:space="preserve">Gender: </w:t>
      </w:r>
      <w:r>
        <w:t>Female</w:t>
      </w:r>
    </w:p>
    <w:p>
      <w:pPr>
        <w:pStyle w:val="ListBullet"/>
      </w:pPr>
      <w:r>
        <w:rPr>
          <w:b/>
        </w:rPr>
        <w:t xml:space="preserve">Accompanied by: </w:t>
      </w:r>
      <w:r>
        <w:t>Mother</w:t>
      </w:r>
    </w:p>
    <w:p>
      <w:pPr>
        <w:pStyle w:val="ListBullet"/>
      </w:pPr>
      <w:r>
        <w:rPr>
          <w:b/>
        </w:rPr>
        <w:t xml:space="preserve">Presentation: </w:t>
      </w:r>
      <w:r>
        <w:t>Recurrent red patches on face, worsened with stress or alcohol</w:t>
      </w:r>
    </w:p>
    <w:p>
      <w:pPr>
        <w:pStyle w:val="Heading2"/>
      </w:pPr>
      <w:r>
        <w:t>Chief Complaint</w:t>
      </w:r>
    </w:p>
    <w:p>
      <w:r>
        <w:t>“I have these red patches on my face that come and go. They’ve been bothering me for about six months, and they get worse when I’m stressed or after I drink alcohol.”</w:t>
      </w:r>
    </w:p>
    <w:p>
      <w:pPr>
        <w:pStyle w:val="Heading2"/>
      </w:pPr>
      <w:r>
        <w:t>History of Present Illness OPQRSTU plus V and W</w:t>
      </w:r>
    </w:p>
    <w:p>
      <w:pPr>
        <w:pStyle w:val="ListBullet"/>
      </w:pPr>
      <w:r>
        <w:rPr>
          <w:b/>
        </w:rPr>
        <w:t xml:space="preserve">Onset: </w:t>
      </w:r>
      <w:r>
        <w:t>“They started about six months ago, first as occasional flushing.”</w:t>
      </w:r>
    </w:p>
    <w:p>
      <w:pPr>
        <w:pStyle w:val="ListBullet"/>
      </w:pPr>
      <w:r>
        <w:rPr>
          <w:b/>
        </w:rPr>
        <w:t xml:space="preserve">Provoking or palliating: </w:t>
      </w:r>
      <w:r>
        <w:t>“They get worse with stress, hot drinks, and alcohol. A gentle moisturizer helps a bit.”</w:t>
      </w:r>
    </w:p>
    <w:p>
      <w:pPr>
        <w:pStyle w:val="ListBullet"/>
      </w:pPr>
      <w:r>
        <w:rPr>
          <w:b/>
        </w:rPr>
        <w:t xml:space="preserve">Quality: </w:t>
      </w:r>
      <w:r>
        <w:t>“It feels like burning more than pain.”</w:t>
      </w:r>
    </w:p>
    <w:p>
      <w:pPr>
        <w:pStyle w:val="ListBullet"/>
      </w:pPr>
      <w:r>
        <w:rPr>
          <w:b/>
        </w:rPr>
        <w:t xml:space="preserve">Region or radiation: </w:t>
      </w:r>
      <w:r>
        <w:t>“It’s only on my face, not spreading elsewhere.”</w:t>
      </w:r>
    </w:p>
    <w:p>
      <w:pPr>
        <w:pStyle w:val="ListBullet"/>
      </w:pPr>
      <w:r>
        <w:rPr>
          <w:b/>
        </w:rPr>
        <w:t xml:space="preserve">Severity: </w:t>
      </w:r>
      <w:r>
        <w:t>“About a 5 out of 10 during flare-ups.”</w:t>
      </w:r>
    </w:p>
    <w:p>
      <w:pPr>
        <w:pStyle w:val="ListBullet"/>
      </w:pPr>
      <w:r>
        <w:rPr>
          <w:b/>
        </w:rPr>
        <w:t xml:space="preserve">Timing: </w:t>
      </w:r>
      <w:r>
        <w:t>“Intermittent, usually worse during the day when triggered, lasting hours.”</w:t>
      </w:r>
    </w:p>
    <w:p>
      <w:pPr>
        <w:pStyle w:val="ListBullet"/>
      </w:pPr>
      <w:r>
        <w:rPr>
          <w:b/>
        </w:rPr>
        <w:t xml:space="preserve">Understanding: </w:t>
      </w:r>
      <w:r>
        <w:t>“It affects my confidence, makes me anxious in social settings.”</w:t>
      </w:r>
    </w:p>
    <w:p>
      <w:pPr>
        <w:pStyle w:val="ListBullet"/>
      </w:pPr>
      <w:r>
        <w:rPr>
          <w:b/>
        </w:rPr>
        <w:t xml:space="preserve">V Deja Vu: </w:t>
      </w:r>
      <w:r>
        <w:t>“Yes, I’ve had mild flushing before, but it was never this bad and usually went away on its own.”</w:t>
      </w:r>
    </w:p>
    <w:p>
      <w:pPr>
        <w:pStyle w:val="ListBullet"/>
      </w:pPr>
      <w:r>
        <w:rPr>
          <w:b/>
        </w:rPr>
        <w:t xml:space="preserve">W What do you think it is: </w:t>
      </w:r>
      <w:r>
        <w:t>“Maybe it’s my skin type or something I’m eating or drinking.”</w:t>
      </w:r>
    </w:p>
    <w:p>
      <w:pPr>
        <w:pStyle w:val="Heading2"/>
      </w:pPr>
      <w:r>
        <w:t>Associated Symptoms</w:t>
      </w:r>
    </w:p>
    <w:p>
      <w:pPr>
        <w:pStyle w:val="ListBullet"/>
      </w:pPr>
      <w:r>
        <w:t>Increased sensitivity to skin products</w:t>
      </w:r>
    </w:p>
    <w:p>
      <w:pPr>
        <w:pStyle w:val="ListBullet"/>
      </w:pPr>
      <w:r>
        <w:t>Occasional itching in affected areas</w:t>
      </w:r>
    </w:p>
    <w:p>
      <w:pPr>
        <w:pStyle w:val="ListBullet"/>
      </w:pPr>
      <w:r>
        <w:t>No fever, weight loss, or joint pain</w:t>
      </w:r>
    </w:p>
    <w:p>
      <w:pPr>
        <w:pStyle w:val="Heading2"/>
      </w:pPr>
      <w:r>
        <w:t>Past Medical History</w:t>
      </w:r>
    </w:p>
    <w:p>
      <w:pPr>
        <w:pStyle w:val="ListBullet"/>
      </w:pPr>
      <w:r>
        <w:t>No chronic illnesses</w:t>
      </w:r>
    </w:p>
    <w:p>
      <w:pPr>
        <w:pStyle w:val="ListBullet"/>
      </w:pPr>
      <w:r>
        <w:t>Childhood: normal health, no significant skin disorders</w:t>
      </w:r>
    </w:p>
    <w:p>
      <w:pPr>
        <w:pStyle w:val="ListBullet"/>
      </w:pPr>
      <w:r>
        <w:t>Gyne: Routine exams, Pap normal</w:t>
      </w:r>
    </w:p>
    <w:p>
      <w:pPr>
        <w:pStyle w:val="Heading2"/>
      </w:pPr>
      <w:r>
        <w:t>Surgical History</w:t>
      </w:r>
    </w:p>
    <w:p>
      <w:pPr>
        <w:pStyle w:val="ListBullet"/>
      </w:pPr>
      <w:r>
        <w:t>None</w:t>
      </w:r>
    </w:p>
    <w:p>
      <w:pPr>
        <w:pStyle w:val="Heading2"/>
      </w:pPr>
      <w:r>
        <w:t>Family History</w:t>
      </w:r>
    </w:p>
    <w:p>
      <w:pPr>
        <w:pStyle w:val="ListBullet"/>
      </w:pPr>
      <w:r>
        <w:t>Mother: Eczema</w:t>
      </w:r>
    </w:p>
    <w:p>
      <w:pPr>
        <w:pStyle w:val="ListBullet"/>
      </w:pPr>
      <w:r>
        <w:t>No family history of lupus or rosacea</w:t>
      </w:r>
    </w:p>
    <w:p>
      <w:pPr>
        <w:pStyle w:val="Heading2"/>
      </w:pPr>
      <w:r>
        <w:t>Medications</w:t>
      </w:r>
    </w:p>
    <w:p>
      <w:pPr>
        <w:pStyle w:val="ListBullet"/>
      </w:pPr>
      <w:r>
        <w:t>None prescribed</w:t>
      </w:r>
    </w:p>
    <w:p>
      <w:pPr>
        <w:pStyle w:val="ListBullet"/>
      </w:pPr>
      <w:r>
        <w:t>Occasional OTC hydrocortisone cream</w:t>
      </w:r>
    </w:p>
    <w:p>
      <w:pPr>
        <w:pStyle w:val="ListBullet"/>
      </w:pPr>
      <w:r>
        <w:t>Daily multivitamin</w:t>
      </w:r>
    </w:p>
    <w:p>
      <w:pPr>
        <w:pStyle w:val="Heading2"/>
      </w:pPr>
      <w:r>
        <w:t>Allergies</w:t>
      </w:r>
    </w:p>
    <w:p>
      <w:pPr>
        <w:pStyle w:val="ListBullet"/>
      </w:pPr>
      <w:r>
        <w:rPr>
          <w:b/>
        </w:rPr>
        <w:t xml:space="preserve">Drug: </w:t>
      </w:r>
      <w:r>
        <w:t>None</w:t>
      </w:r>
    </w:p>
    <w:p>
      <w:pPr>
        <w:pStyle w:val="ListBullet"/>
      </w:pPr>
      <w:r>
        <w:rPr>
          <w:b/>
        </w:rPr>
        <w:t xml:space="preserve">Food: </w:t>
      </w:r>
      <w:r>
        <w:t>None</w:t>
      </w:r>
    </w:p>
    <w:p>
      <w:pPr>
        <w:pStyle w:val="ListBullet"/>
      </w:pPr>
      <w:r>
        <w:rPr>
          <w:b/>
        </w:rPr>
        <w:t xml:space="preserve">Environmental: </w:t>
      </w:r>
      <w:r>
        <w:t>Seasonal pollen allergy</w:t>
      </w:r>
    </w:p>
    <w:p>
      <w:pPr>
        <w:pStyle w:val="Heading2"/>
      </w:pPr>
      <w:r>
        <w:t>Immunizations</w:t>
      </w:r>
    </w:p>
    <w:p>
      <w:pPr>
        <w:pStyle w:val="ListBullet"/>
      </w:pPr>
      <w:r>
        <w:t>Up to date</w:t>
      </w:r>
    </w:p>
    <w:p>
      <w:pPr>
        <w:pStyle w:val="ListBullet"/>
      </w:pPr>
      <w:r>
        <w:t>Last flu shot: 6 months ago</w:t>
      </w:r>
    </w:p>
    <w:p>
      <w:pPr>
        <w:pStyle w:val="Heading2"/>
      </w:pPr>
      <w:r>
        <w:t>Social History</w:t>
      </w:r>
    </w:p>
    <w:p>
      <w:pPr>
        <w:pStyle w:val="ListBullet"/>
      </w:pPr>
      <w:r>
        <w:rPr>
          <w:b/>
        </w:rPr>
        <w:t xml:space="preserve">Smoking: </w:t>
      </w:r>
      <w:r>
        <w:t>Non-smoker</w:t>
      </w:r>
    </w:p>
    <w:p>
      <w:pPr>
        <w:pStyle w:val="ListBullet"/>
      </w:pPr>
      <w:r>
        <w:rPr>
          <w:b/>
        </w:rPr>
        <w:t xml:space="preserve">Alcohol: </w:t>
      </w:r>
      <w:r>
        <w:t>1–2 glasses wine per week, noted trigger</w:t>
      </w:r>
    </w:p>
    <w:p>
      <w:pPr>
        <w:pStyle w:val="ListBullet"/>
      </w:pPr>
      <w:r>
        <w:rPr>
          <w:b/>
        </w:rPr>
        <w:t xml:space="preserve">Marital status: </w:t>
      </w:r>
      <w:r>
        <w:t>Single</w:t>
      </w:r>
    </w:p>
    <w:p>
      <w:pPr>
        <w:pStyle w:val="ListBullet"/>
      </w:pPr>
      <w:r>
        <w:rPr>
          <w:b/>
        </w:rPr>
        <w:t xml:space="preserve">Social support: </w:t>
      </w:r>
      <w:r>
        <w:t>Close to mother and friends</w:t>
      </w:r>
    </w:p>
    <w:p>
      <w:pPr>
        <w:pStyle w:val="ListBullet"/>
      </w:pPr>
      <w:r>
        <w:rPr>
          <w:b/>
        </w:rPr>
        <w:t xml:space="preserve">Education or occupation: </w:t>
      </w:r>
      <w:r>
        <w:t>BA in Marketing, Marketing Coordinator</w:t>
      </w:r>
    </w:p>
    <w:p>
      <w:pPr>
        <w:pStyle w:val="ListBullet"/>
      </w:pPr>
      <w:r>
        <w:rPr>
          <w:b/>
        </w:rPr>
        <w:t xml:space="preserve">Hobbies: </w:t>
      </w:r>
      <w:r>
        <w:t>Yoga, reading, photography</w:t>
      </w:r>
    </w:p>
    <w:p>
      <w:pPr>
        <w:pStyle w:val="ListBullet"/>
      </w:pPr>
      <w:r>
        <w:rPr>
          <w:b/>
        </w:rPr>
        <w:t xml:space="preserve">Diet: </w:t>
      </w:r>
      <w:r>
        <w:t>Balanced but admits high sugar intake</w:t>
      </w:r>
    </w:p>
    <w:p>
      <w:pPr>
        <w:pStyle w:val="ListBullet"/>
      </w:pPr>
      <w:r>
        <w:rPr>
          <w:b/>
        </w:rPr>
        <w:t xml:space="preserve">Stress: </w:t>
      </w:r>
      <w:r>
        <w:t>Moderate, work-related</w:t>
      </w:r>
    </w:p>
    <w:p>
      <w:pPr>
        <w:pStyle w:val="ListBullet"/>
      </w:pPr>
      <w:r>
        <w:rPr>
          <w:b/>
        </w:rPr>
        <w:t xml:space="preserve">Sleep: </w:t>
      </w:r>
      <w:r>
        <w:t>7–8 hours per night, generally good</w:t>
      </w:r>
    </w:p>
    <w:p>
      <w:pPr>
        <w:pStyle w:val="ListBullet"/>
      </w:pPr>
      <w:r>
        <w:rPr>
          <w:b/>
        </w:rPr>
        <w:t xml:space="preserve">ADLs or iADLs: </w:t>
      </w:r>
      <w:r>
        <w:t>Independent</w:t>
      </w:r>
    </w:p>
    <w:p>
      <w:pPr>
        <w:pStyle w:val="Heading2"/>
      </w:pPr>
      <w:r>
        <w:t>Review of Systems Pertinent Positives and Negatives</w:t>
      </w:r>
    </w:p>
    <w:p>
      <w:pPr>
        <w:pStyle w:val="ListBullet"/>
      </w:pPr>
      <w:r>
        <w:rPr>
          <w:b/>
        </w:rPr>
        <w:t xml:space="preserve">General: </w:t>
      </w:r>
      <w:r>
        <w:t>No fatigue, no weight changes</w:t>
      </w:r>
    </w:p>
    <w:p>
      <w:pPr>
        <w:pStyle w:val="ListBullet"/>
      </w:pPr>
      <w:r>
        <w:rPr>
          <w:b/>
        </w:rPr>
        <w:t xml:space="preserve">Skin: </w:t>
      </w:r>
      <w:r>
        <w:t>Episodic red facial rash, burning sensation</w:t>
      </w:r>
    </w:p>
    <w:p>
      <w:pPr>
        <w:pStyle w:val="ListBullet"/>
      </w:pPr>
      <w:r>
        <w:rPr>
          <w:b/>
        </w:rPr>
        <w:t xml:space="preserve">Eyes: </w:t>
      </w:r>
      <w:r>
        <w:t>No redness, pain, or vision changes</w:t>
      </w:r>
    </w:p>
    <w:p>
      <w:pPr>
        <w:pStyle w:val="ListBullet"/>
      </w:pPr>
      <w:r>
        <w:rPr>
          <w:b/>
        </w:rPr>
        <w:t xml:space="preserve">Cardio: </w:t>
      </w:r>
      <w:r>
        <w:t>No chest pain, palpitations</w:t>
      </w:r>
    </w:p>
    <w:p>
      <w:pPr>
        <w:pStyle w:val="ListBullet"/>
      </w:pPr>
      <w:r>
        <w:rPr>
          <w:b/>
        </w:rPr>
        <w:t xml:space="preserve">Respiratory: </w:t>
      </w:r>
      <w:r>
        <w:t>No cough or SOB</w:t>
      </w:r>
    </w:p>
    <w:p>
      <w:pPr>
        <w:pStyle w:val="ListBullet"/>
      </w:pPr>
      <w:r>
        <w:rPr>
          <w:b/>
        </w:rPr>
        <w:t xml:space="preserve">GI or GU: </w:t>
      </w:r>
      <w:r>
        <w:t>Normal</w:t>
      </w:r>
    </w:p>
    <w:p>
      <w:pPr>
        <w:pStyle w:val="ListBullet"/>
      </w:pPr>
      <w:r>
        <w:rPr>
          <w:b/>
        </w:rPr>
        <w:t xml:space="preserve">Endocrine: </w:t>
      </w:r>
      <w:r>
        <w:t>No heat or cold intolerance, no appetite changes</w:t>
      </w:r>
    </w:p>
    <w:p>
      <w:pPr>
        <w:pStyle w:val="ListBullet"/>
      </w:pPr>
      <w:r>
        <w:rPr>
          <w:b/>
        </w:rPr>
        <w:t xml:space="preserve">Neuropsych: </w:t>
      </w:r>
      <w:r>
        <w:t>No depression or anxiety beyond cosmetic impact</w:t>
      </w:r>
    </w:p>
    <w:p>
      <w:pPr>
        <w:pStyle w:val="Heading2"/>
      </w:pPr>
      <w:r>
        <w:t>Physical Examination Findings</w:t>
      </w:r>
    </w:p>
    <w:p>
      <w:pPr>
        <w:pStyle w:val="ListBullet"/>
      </w:pPr>
      <w:r>
        <w:rPr>
          <w:b/>
        </w:rPr>
        <w:t xml:space="preserve">General: </w:t>
      </w:r>
      <w:r>
        <w:t>Healthy-appearing, no systemic illness signs</w:t>
      </w:r>
    </w:p>
    <w:p>
      <w:pPr>
        <w:pStyle w:val="ListBullet"/>
      </w:pPr>
      <w:r>
        <w:rPr>
          <w:b/>
        </w:rPr>
        <w:t xml:space="preserve">Vital signs: </w:t>
      </w:r>
      <w:r>
        <w:t>Stable, all within normal limits if asked</w:t>
      </w:r>
    </w:p>
    <w:p>
      <w:pPr>
        <w:pStyle w:val="ListBullet"/>
      </w:pPr>
      <w:r>
        <w:rPr>
          <w:b/>
        </w:rPr>
        <w:t xml:space="preserve">Skin: </w:t>
      </w:r>
      <w:r/>
    </w:p>
    <w:p>
      <w:pPr>
        <w:pStyle w:val="ListBullet2"/>
      </w:pPr>
      <w:r>
        <w:t>Erythema on cheeks and nose</w:t>
      </w:r>
    </w:p>
    <w:p>
      <w:pPr>
        <w:pStyle w:val="ListBullet2"/>
      </w:pPr>
      <w:r>
        <w:t>Presence of telangiectasia</w:t>
      </w:r>
    </w:p>
    <w:p>
      <w:pPr>
        <w:pStyle w:val="ListBullet2"/>
      </w:pPr>
      <w:r>
        <w:t>No pustules, papules, or comedones</w:t>
      </w:r>
    </w:p>
    <w:p>
      <w:pPr>
        <w:pStyle w:val="ListBullet"/>
      </w:pPr>
      <w:r>
        <w:rPr>
          <w:b/>
        </w:rPr>
        <w:t xml:space="preserve">Eyes: </w:t>
      </w:r>
      <w:r>
        <w:t>No conjunctival injection or dryness</w:t>
      </w:r>
    </w:p>
    <w:p>
      <w:pPr>
        <w:pStyle w:val="ListBullet"/>
      </w:pPr>
      <w:r>
        <w:rPr>
          <w:b/>
        </w:rPr>
        <w:t xml:space="preserve">Systemic exam: </w:t>
      </w:r>
      <w:r>
        <w:t>Normal</w:t>
      </w:r>
    </w:p>
    <w:p>
      <w:r>
        <w:br w:type="page"/>
      </w:r>
    </w:p>
    <w:p>
      <w:pPr>
        <w:pStyle w:val="Heading2"/>
      </w:pPr>
      <w:r>
        <w:t>Differential Diagnoses</w:t>
      </w:r>
    </w:p>
    <w:p>
      <w:r>
        <w:t>1. Rosacea Most Likely</w:t>
      </w:r>
    </w:p>
    <w:p>
      <w:pPr>
        <w:pStyle w:val="ListBullet2"/>
      </w:pPr>
      <w:r>
        <w:t>Flushing, burning facial erythema, telangiectasia</w:t>
      </w:r>
    </w:p>
    <w:p>
      <w:pPr>
        <w:pStyle w:val="ListBullet2"/>
      </w:pPr>
      <w:r>
        <w:t>Triggered by stress, alcohol, hot drinks</w:t>
      </w:r>
    </w:p>
    <w:p>
      <w:r>
        <w:t>2. Seborrheic Dermatitis</w:t>
      </w:r>
    </w:p>
    <w:p>
      <w:pPr>
        <w:pStyle w:val="ListBullet2"/>
      </w:pPr>
      <w:r>
        <w:t>Redness common in T-zone, but usually with greasy scales</w:t>
      </w:r>
    </w:p>
    <w:p>
      <w:r>
        <w:t>3. Contact Dermatitis Irritant or Allergic</w:t>
      </w:r>
    </w:p>
    <w:p>
      <w:pPr>
        <w:pStyle w:val="ListBullet2"/>
      </w:pPr>
      <w:r>
        <w:t>Fits with skin sensitivity, but pattern and triggers less consistent</w:t>
      </w:r>
    </w:p>
    <w:p>
      <w:r>
        <w:t>4. Lupus Erythematosus</w:t>
      </w:r>
    </w:p>
    <w:p>
      <w:pPr>
        <w:pStyle w:val="ListBullet2"/>
      </w:pPr>
      <w:r>
        <w:t>Can present with malar rash, but no systemic symptoms such as fatigue or joint pain</w:t>
      </w:r>
    </w:p>
    <w:p>
      <w:r>
        <w:t>5. Acne Vulgaris</w:t>
      </w:r>
    </w:p>
    <w:p>
      <w:pPr>
        <w:pStyle w:val="ListBullet2"/>
      </w:pPr>
      <w:r>
        <w:t>No comedones or pustules in this case, less likely</w:t>
      </w:r>
    </w:p>
    <w:sectPr w:rsidR="00FC693F" w:rsidRPr="0006063C" w:rsidSect="00034616">
      <w:footerReference w:type="default" r:id="rId9"/>
      <w:pgSz w:w="12240" w:h="15840"/>
      <w:pgMar w:top="864"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OSCE Practice Case Source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