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t>High-Yield Therapeutics Study Notes</w:t>
      </w:r>
    </w:p>
    <w:p>
      <w:pPr>
        <w:spacing w:after="40"/>
        <w:jc w:val="center"/>
      </w:pPr>
      <w:r>
        <w:rPr>
          <w:i/>
          <w:sz w:val="16"/>
        </w:rPr>
        <w:t>Fever • HEENT/Respiratory Infections • Antibiotic &amp; Prescription Pearls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15"/>
        <w:gridCol w:w="5515"/>
      </w:tblGrid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FEVER + ANTIPYRETICS</w:t>
            </w:r>
          </w:p>
          <w:p>
            <w:pPr>
              <w:ind w:left="144" w:hanging="115"/>
            </w:pPr>
            <w:r>
              <w:t>• Fever = hypothalamic set-point increase; treat mainly for comfort.</w:t>
            </w:r>
          </w:p>
          <w:p>
            <w:pPr>
              <w:ind w:left="144" w:hanging="115"/>
            </w:pPr>
            <w:r>
              <w:t>• Avoid ice baths, alcohol sponging, fans. Remove excess clothing only if not shivering.</w:t>
            </w:r>
          </w:p>
          <w:p>
            <w:pPr>
              <w:ind w:left="144" w:hanging="115"/>
            </w:pPr>
            <w:r>
              <w:t>• Infant &lt;3 months + fever → urgent assessment.</w:t>
            </w:r>
          </w:p>
          <w:p>
            <w:pPr>
              <w:ind w:left="144" w:hanging="115"/>
            </w:pPr>
            <w:r>
              <w:t>• Acetaminophen 10–15 mg/kg/dose; lower end discussed for &lt;6 mo. Adult max discussed: 4 g/day.</w:t>
            </w:r>
          </w:p>
          <w:p>
            <w:pPr>
              <w:ind w:left="144" w:hanging="115"/>
            </w:pPr>
            <w:r>
              <w:t>• Ibuprofen 5–10 mg/kg/dose. NSAIDs: GI bleed/platelet effects, fluid retention/↑BP; caution HTN/CHF.</w:t>
            </w:r>
          </w:p>
          <w:p>
            <w:pPr>
              <w:ind w:left="144" w:hanging="115"/>
            </w:pPr>
            <w:r>
              <w:t>• Alternating antipyretics: record exact times/doses. Avoid routine pre-vaccine antipyretics.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PENICILLIN ALLERGY</w:t>
            </w:r>
          </w:p>
          <w:p>
            <w:pPr>
              <w:ind w:left="144" w:hanging="115"/>
            </w:pPr>
            <w:r>
              <w:t>• Clarify the exact reaction, not just “penicillin allergy.”</w:t>
            </w:r>
          </w:p>
          <w:p>
            <w:pPr>
              <w:ind w:left="144" w:hanging="115"/>
            </w:pPr>
            <w:r>
              <w:t>• Mild rash: cephalosporin may be considered depending on history.</w:t>
            </w:r>
          </w:p>
          <w:p>
            <w:pPr>
              <w:ind w:left="144" w:hanging="115"/>
            </w:pPr>
            <w:r>
              <w:t>• Hives/anaphylaxis/severe reaction: avoid related beta-lactams discussed in lecture; use alternative class.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PREECLAMPSIA ASA PEARL</w:t>
            </w:r>
          </w:p>
          <w:p>
            <w:pPr>
              <w:ind w:left="144" w:hanging="115"/>
            </w:pPr>
            <w:r>
              <w:t>• Lecture: ASA 162 mg daily, ideally before 16 weeks.</w:t>
            </w:r>
          </w:p>
          <w:p>
            <w:pPr>
              <w:ind w:left="144" w:hanging="115"/>
            </w:pPr>
            <w:r>
              <w:t>• Major risks discussed: BMI &gt;30, chronic HTN, pregestational DM, prior preeclampsia, IVF/reproductive therapy.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ANTIBIOTIC PEARLS</w:t>
            </w:r>
          </w:p>
          <w:p>
            <w:pPr>
              <w:ind w:left="144" w:hanging="115"/>
            </w:pPr>
            <w:r>
              <w:t>• Azithromycin: long half-life; resistance concerns → later-line in some respiratory infections.</w:t>
            </w:r>
          </w:p>
          <w:p>
            <w:pPr>
              <w:ind w:left="144" w:hanging="115"/>
            </w:pPr>
            <w:r>
              <w:t>• Amox-clav: different amoxicillin:clavulanate ratios (e.g., 7:1, 4:1); changing formulation may reduce diarrhea.</w:t>
            </w:r>
          </w:p>
          <w:p>
            <w:pPr>
              <w:ind w:left="144" w:hanging="115"/>
            </w:pPr>
            <w:r>
              <w:t>• Peds amox-clav AOM example: 80–90 mg/kg/day (amoxicillin component) → convert to mL.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ACUTE BACTERIAL SINUSITIS</w:t>
            </w:r>
          </w:p>
          <w:p>
            <w:pPr>
              <w:ind w:left="144" w:hanging="115"/>
            </w:pPr>
            <w:r>
              <w:t>• Think bacterial: &gt;7 days OR worsening after initial improvement/~5 days.</w:t>
            </w:r>
          </w:p>
          <w:p>
            <w:pPr>
              <w:ind w:left="144" w:hanging="115"/>
            </w:pPr>
            <w:r>
              <w:t>• Features: obstruction/discharge, facial pain/pressure, ↓ smell; assess maxillary tenderness + regional nodes.</w:t>
            </w:r>
          </w:p>
          <w:p>
            <w:pPr>
              <w:ind w:left="144" w:hanging="115"/>
            </w:pPr>
            <w:r>
              <w:t>• Risks/contributors: smoking, poor dental hygiene. Postnasal drip may cause N/V.</w:t>
            </w:r>
          </w:p>
          <w:p>
            <w:pPr>
              <w:ind w:left="144" w:hanging="115"/>
            </w:pPr>
            <w:r>
              <w:t>• Penicillin allergy: doxycycline discussed; teach GI upset + photosensitivity precautions.</w:t>
            </w:r>
          </w:p>
          <w:p>
            <w:pPr>
              <w:ind w:left="144" w:hanging="115"/>
            </w:pPr>
            <w:r>
              <w:t>• Topical nasal decongestants: limit ~3–4 days → rebound congestion.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LARYNGITIS + CROUP</w:t>
            </w:r>
          </w:p>
          <w:p>
            <w:pPr>
              <w:ind w:left="144" w:hanging="115"/>
            </w:pPr>
            <w:r>
              <w:t>• Laryngitis: usually viral → supportive care; no antibiotics.</w:t>
            </w:r>
          </w:p>
          <w:p>
            <w:pPr>
              <w:ind w:left="144" w:hanging="115"/>
            </w:pPr>
            <w:r>
              <w:t>• Croup: dexamethasone 0.6 mg/kg × 1 dose.</w:t>
            </w:r>
          </w:p>
          <w:p>
            <w:pPr>
              <w:ind w:left="144" w:hanging="115"/>
            </w:pPr>
            <w:r>
              <w:t>• Croup supportive care: keep child calm, parent present, hydration, cool air; oxygen blow-by if needed.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PHARYNGITIS / STREP</w:t>
            </w:r>
          </w:p>
          <w:p>
            <w:pPr>
              <w:ind w:left="144" w:hanging="115"/>
            </w:pPr>
            <w:r>
              <w:t>• Test first: RADT and/or throat culture. Treat confirmed GAS.</w:t>
            </w:r>
          </w:p>
          <w:p>
            <w:pPr>
              <w:ind w:left="144" w:hanging="115"/>
            </w:pPr>
            <w:r>
              <w:t>• Findings discussed: fever, tonsillar exudate/white patches.</w:t>
            </w:r>
          </w:p>
          <w:p>
            <w:pPr>
              <w:ind w:left="144" w:hanging="115"/>
            </w:pPr>
            <w:r>
              <w:t>• Complete 10-day antibiotic course to reduce rheumatic fever risk.</w:t>
            </w:r>
          </w:p>
          <w:p>
            <w:pPr>
              <w:ind w:left="144" w:hanging="115"/>
            </w:pPr>
            <w:r>
              <w:t>• ED red flags: airway compromise, dyspnea, hot-potato voice, severe dehydration.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PERTUSSIS</w:t>
            </w:r>
          </w:p>
          <w:p>
            <w:pPr>
              <w:ind w:left="144" w:hanging="115"/>
            </w:pPr>
            <w:r>
              <w:t>• Macrolides: azithromycin, clarithromycin, erythromycin.</w:t>
            </w:r>
          </w:p>
          <w:p>
            <w:pPr>
              <w:ind w:left="144" w:hanging="115"/>
            </w:pPr>
            <w:r>
              <w:t>• Confirmed case: report; household contacts may need chemoprophylaxis regardless of age/immunization status.</w:t>
            </w:r>
          </w:p>
          <w:p>
            <w:pPr>
              <w:ind w:left="144" w:hanging="115"/>
            </w:pPr>
            <w:r>
              <w:t>• Tdap in each pregnancy, ~27–36 weeks, for passive antibody transfer.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MONONUCLEOSIS</w:t>
            </w:r>
          </w:p>
          <w:p>
            <w:pPr>
              <w:ind w:left="144" w:hanging="115"/>
            </w:pPr>
            <w:r>
              <w:t>• Consider with persistent exudative pharyngitis + negative strep; Monospot discussed.</w:t>
            </w:r>
          </w:p>
          <w:p>
            <w:pPr>
              <w:ind w:left="144" w:hanging="115"/>
            </w:pPr>
            <w:r>
              <w:t>• Supportive care + rest.</w:t>
            </w:r>
          </w:p>
          <w:p>
            <w:pPr>
              <w:ind w:left="144" w:hanging="115"/>
            </w:pPr>
            <w:r>
              <w:t>• Ask about contact sports → splenomegaly/splenic rupture risk.</w:t>
            </w:r>
          </w:p>
          <w:p>
            <w:pPr>
              <w:ind w:left="144" w:hanging="115"/>
            </w:pPr>
            <w:r>
              <w:t>• Amoxicillin can cause a characteristic non-allergic rash; penicillin V preferred if strep treatment needed while mono suspected.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URI / COUGH</w:t>
            </w:r>
          </w:p>
          <w:p>
            <w:pPr>
              <w:ind w:left="144" w:hanging="115"/>
            </w:pPr>
            <w:r>
              <w:t>• URI: hydration, humidity, hand hygiene.</w:t>
            </w:r>
          </w:p>
          <w:p>
            <w:pPr>
              <w:ind w:left="144" w:hanging="115"/>
            </w:pPr>
            <w:r>
              <w:t>• Honey may soothe cough/sore throat; NEVER &lt;1 year.</w:t>
            </w:r>
          </w:p>
          <w:p>
            <w:pPr>
              <w:ind w:left="144" w:hanging="115"/>
            </w:pPr>
            <w:r>
              <w:t>• OTC cough/cold products: avoid &lt;6 years.</w:t>
            </w:r>
          </w:p>
          <w:p>
            <w:pPr>
              <w:ind w:left="144" w:hanging="115"/>
            </w:pPr>
            <w:r>
              <w:t>• Secondary bacterial complications: sinusitis, otitis media, pneumonia.</w:t>
            </w:r>
          </w:p>
          <w:p>
            <w:pPr>
              <w:ind w:left="144" w:hanging="115"/>
            </w:pPr>
            <w:r>
              <w:t>• Chronic cough DDx: ACE inhibitor, smoking, asthma, allergies, post-viral/URI, CHF, GERD.</w:t>
            </w:r>
          </w:p>
        </w:tc>
      </w:tr>
      <w:tr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OTHER HIGH-YIELD</w:t>
            </w:r>
          </w:p>
          <w:p>
            <w:pPr>
              <w:ind w:left="144" w:hanging="115"/>
            </w:pPr>
            <w:r>
              <w:t>• Influenza antivirals emphasized for higher-risk, immunocompromised or hospitalized patients.</w:t>
            </w:r>
          </w:p>
          <w:p>
            <w:pPr>
              <w:ind w:left="144" w:hanging="115"/>
            </w:pPr>
            <w:r>
              <w:t>• Bacterial meningitis = emergency; urgent IV therapy discussed with cephalosporin + additional coverage.</w:t>
            </w:r>
          </w:p>
          <w:p>
            <w:pPr>
              <w:ind w:left="144" w:hanging="115"/>
            </w:pPr>
            <w:r>
              <w:t>• Prevention: meningococcal, pneumococcal, Hib vaccines.</w:t>
            </w:r>
          </w:p>
          <w:p>
            <w:pPr>
              <w:ind w:left="144" w:hanging="115"/>
            </w:pPr>
            <w:r>
              <w:t>• Scarlet fever: strawberry tongue + generalized rash.</w:t>
            </w:r>
          </w:p>
        </w:tc>
        <w:tc>
          <w:tcPr>
            <w:tcW w:type="dxa" w:w="5400"/>
            <w:vAlign w:val="top"/>
            <w:tcMar>
              <w:top w:w="45" w:type="dxa"/>
              <w:left w:w="45" w:type="dxa"/>
              <w:bottom w:w="45" w:type="dxa"/>
              <w:right w:w="45" w:type="dxa"/>
            </w:tcMar>
            <w:tcBorders>
              <w:top w:val="single" w:sz="2" w:color="D9D9D9"/>
              <w:left w:val="single" w:sz="2" w:color="D9D9D9"/>
              <w:bottom w:val="single" w:sz="2" w:color="D9D9D9"/>
              <w:right w:val="single" w:sz="2" w:color="D9D9D9"/>
            </w:tcBorders>
          </w:tcPr>
          <w:p>
            <w:pPr>
              <w:pStyle w:val="Heading1"/>
              <w:keepNext/>
            </w:pPr>
            <w:r>
              <w:t>PRESCRIPTION / DOSING PEARLS</w:t>
            </w:r>
          </w:p>
          <w:p>
            <w:pPr>
              <w:ind w:left="144" w:hanging="115"/>
            </w:pPr>
            <w:r>
              <w:t>• 1 fingertip unit ≈ 0.5 g topical medication.</w:t>
            </w:r>
          </w:p>
          <w:p>
            <w:pPr>
              <w:ind w:left="144" w:hanging="115"/>
            </w:pPr>
            <w:r>
              <w:t>• Pediatric liquids: mg/kg → product concentration → exact mL/dose.</w:t>
            </w:r>
          </w:p>
          <w:p>
            <w:pPr>
              <w:ind w:left="144" w:hanging="115"/>
            </w:pPr>
            <w:r>
              <w:t>• Nicotine patch step-down strengths: separate drug lines with own directions + quantities.</w:t>
            </w:r>
          </w:p>
        </w:tc>
      </w:tr>
    </w:tbl>
    <w:p>
      <w:pPr>
        <w:keepLines/>
        <w:spacing w:before="40"/>
      </w:pPr>
      <w:r>
        <w:rPr>
          <w:b/>
          <w:sz w:val="16"/>
        </w:rPr>
        <w:t xml:space="preserve">EXAM RAPID RECALL: </w:t>
      </w:r>
      <w:r>
        <w:rPr>
          <w:sz w:val="16"/>
        </w:rPr>
        <w:t>Strep = test then treat • Mono + amoxicillin = rash • Mono = no contact sports • Hot-potato voice/airway issue = ED • Nasal decongestant ≤3–4 days • Croup = dexamethasone once • Honey never &lt;1 yr • OTC cough/cold avoid &lt;6 yr • Fever &lt;3 mo = escalate • Acetaminophen 10–15 mg/kg • Ibuprofen 5–10 mg/kg • Clarify penicillin reaction.</w:t>
      </w:r>
    </w:p>
    <w:sectPr w:rsidR="00FC693F" w:rsidRPr="0006063C" w:rsidSect="00034616">
      <w:pgSz w:w="12240" w:h="15840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ptos" w:hAnsi="Aptos" w:eastAsia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" w:line="240" w:lineRule="auto" w:before="40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