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6EFC" w14:textId="15D83813" w:rsidR="00107AAE" w:rsidRDefault="00730D1D" w:rsidP="00730D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Analiza zainteresovanih strana</w:t>
      </w:r>
    </w:p>
    <w:p w14:paraId="50237DB6" w14:textId="77777777" w:rsidR="00730D1D" w:rsidRDefault="00730D1D" w:rsidP="00730D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D37203" w14:textId="246E02D2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Studenti:</w:t>
      </w:r>
    </w:p>
    <w:p w14:paraId="16C9A878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Direktno pogođeni promenama u kurikulumu, učestvuju u Summer Schools, istraživačkim projektima, međunarodnoj saradnji, i radionicama profesionalne orijentacije. Studenti su ključni jer su primarni korisnici obrazovnih usluga i njihova dobrobit i obrazovanje su primarni ciljevi institucija.</w:t>
      </w:r>
    </w:p>
    <w:p w14:paraId="5150D318" w14:textId="5EA8CD99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Profesori:</w:t>
      </w:r>
    </w:p>
    <w:p w14:paraId="24BF0ED8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Uključeni u razvoj i predavanje novih kurseva, kao i u istraživačke grupe. Profesori su ključni jer svojim znanjem i iskustvom direktno utiču na kvalitet obrazovanja i istraživanja.</w:t>
      </w:r>
    </w:p>
    <w:p w14:paraId="50A9471D" w14:textId="002A662D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Fakultetsko rukovodstvo:</w:t>
      </w:r>
    </w:p>
    <w:p w14:paraId="091A0ACA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Odobrava i implementira promene u programu, infrastrukturne promene za podršku mentalnom zdravlju, i uspostavlja saradnju sa inostranim univerzitetima. Rukovodstvo je ključno jer donosi strateške odluke koje oblikuju budućnost obrazovne institucije.</w:t>
      </w:r>
    </w:p>
    <w:p w14:paraId="471CA666" w14:textId="511161ED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IT firme i tehnološke kompanije:</w:t>
      </w:r>
    </w:p>
    <w:p w14:paraId="312867AE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Učestvuju u dizajniranju Summer Schools, pružaju podršku softverskom preduzetništvu, i zainteresovane su za etički obrazovane radnike. Ove firme su ključne jer pružaju industrijski kontekst i realne probleme koji obogaćuju obrazovni proces i pripremaju studente za tržište rada.</w:t>
      </w:r>
    </w:p>
    <w:p w14:paraId="761E42C4" w14:textId="5D9C6662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Istraživači i akademici:</w:t>
      </w:r>
    </w:p>
    <w:p w14:paraId="01F46121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Vode istraživačke grupe i projekte, ključni su za razvoj naučnih znanja i novih tehnologija. Njihova uloga je važna jer povezuju teorijsko znanje sa praktičnim primenama i inovacijama.</w:t>
      </w:r>
    </w:p>
    <w:p w14:paraId="173ECF49" w14:textId="505D8FE8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Psihološke službe:</w:t>
      </w:r>
    </w:p>
    <w:p w14:paraId="5FA2E203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Pružaju podršku mentalnom zdravlju studenata, ključne su u primeni infrastrukturnih promena koje promovišu dobrobit studenata. Njihova uloga je esencijalna u održavanju zdrave i produktivne akademske zajednice.</w:t>
      </w:r>
    </w:p>
    <w:p w14:paraId="06C56A4E" w14:textId="2521A7AC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Partner univerziteti i međunarodne obrazovne organizacije:</w:t>
      </w:r>
    </w:p>
    <w:p w14:paraId="55EAF0FE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Saradnja na programima razmene i dvostrukih diploma, ključni su za globalizaciju obrazovanja i pružanje međunarodnih iskustava studentima. Ove institucije omogućavaju studentima da steknu globalnu perspektivu i veštine koje su cenjene na globalnom tržištu.</w:t>
      </w:r>
    </w:p>
    <w:p w14:paraId="37C2B0D2" w14:textId="4AE74BA1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Startup zajednica:</w:t>
      </w:r>
    </w:p>
    <w:p w14:paraId="43064760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Podržava uvođenje softverskog preduzetništva, pruža praktična znanja i mogućnosti za testiranje ideja u realnom svetu. Startapi su ključni zbog svoje inovativnosti i fleksibilnosti, što studentima omogućava da uče u dinamičnom okruženju.</w:t>
      </w:r>
    </w:p>
    <w:p w14:paraId="62ECF49B" w14:textId="394C822A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Karijerni savetnici:</w:t>
      </w:r>
    </w:p>
    <w:p w14:paraId="3770CA22" w14:textId="77777777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lastRenderedPageBreak/>
        <w:t>Vode interaktivne radionice za profesionalnu orijentaciju, ključni su u pomoći studentima da identifikuju svoje karijerne ciljeve i razviju veštine potrebne za uspeh.</w:t>
      </w:r>
    </w:p>
    <w:p w14:paraId="7D073C6F" w14:textId="58991AC5" w:rsidR="00730D1D" w:rsidRPr="00730D1D" w:rsidRDefault="00730D1D" w:rsidP="00730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D1D">
        <w:rPr>
          <w:rFonts w:ascii="Times New Roman" w:hAnsi="Times New Roman" w:cs="Times New Roman"/>
          <w:b/>
          <w:bCs/>
          <w:sz w:val="24"/>
          <w:szCs w:val="24"/>
        </w:rPr>
        <w:t>Državne i privatne finansijske institucije:</w:t>
      </w:r>
    </w:p>
    <w:p w14:paraId="4DCD2476" w14:textId="19A67679" w:rsidR="00730D1D" w:rsidRPr="00730D1D" w:rsidRDefault="00730D1D" w:rsidP="00730D1D">
      <w:pPr>
        <w:rPr>
          <w:rFonts w:ascii="Times New Roman" w:hAnsi="Times New Roman" w:cs="Times New Roman"/>
          <w:sz w:val="24"/>
          <w:szCs w:val="24"/>
        </w:rPr>
      </w:pPr>
      <w:r w:rsidRPr="00730D1D">
        <w:rPr>
          <w:rFonts w:ascii="Times New Roman" w:hAnsi="Times New Roman" w:cs="Times New Roman"/>
          <w:sz w:val="24"/>
          <w:szCs w:val="24"/>
        </w:rPr>
        <w:t>Finansiraju istraživačke projekte i infrastrukturne promene, ključne su za obezbeđivanje potrebnih resursa za inovacije i podršku studentima.</w:t>
      </w:r>
    </w:p>
    <w:sectPr w:rsidR="00730D1D" w:rsidRPr="0073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E5D16"/>
    <w:multiLevelType w:val="hybridMultilevel"/>
    <w:tmpl w:val="3D729892"/>
    <w:lvl w:ilvl="0" w:tplc="241A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60" w:hanging="360"/>
      </w:pPr>
    </w:lvl>
    <w:lvl w:ilvl="2" w:tplc="241A001B" w:tentative="1">
      <w:start w:val="1"/>
      <w:numFmt w:val="lowerRoman"/>
      <w:lvlText w:val="%3."/>
      <w:lvlJc w:val="right"/>
      <w:pPr>
        <w:ind w:left="1980" w:hanging="180"/>
      </w:pPr>
    </w:lvl>
    <w:lvl w:ilvl="3" w:tplc="241A000F" w:tentative="1">
      <w:start w:val="1"/>
      <w:numFmt w:val="decimal"/>
      <w:lvlText w:val="%4."/>
      <w:lvlJc w:val="left"/>
      <w:pPr>
        <w:ind w:left="2700" w:hanging="360"/>
      </w:pPr>
    </w:lvl>
    <w:lvl w:ilvl="4" w:tplc="241A0019" w:tentative="1">
      <w:start w:val="1"/>
      <w:numFmt w:val="lowerLetter"/>
      <w:lvlText w:val="%5."/>
      <w:lvlJc w:val="left"/>
      <w:pPr>
        <w:ind w:left="3420" w:hanging="360"/>
      </w:pPr>
    </w:lvl>
    <w:lvl w:ilvl="5" w:tplc="241A001B" w:tentative="1">
      <w:start w:val="1"/>
      <w:numFmt w:val="lowerRoman"/>
      <w:lvlText w:val="%6."/>
      <w:lvlJc w:val="right"/>
      <w:pPr>
        <w:ind w:left="4140" w:hanging="180"/>
      </w:pPr>
    </w:lvl>
    <w:lvl w:ilvl="6" w:tplc="241A000F" w:tentative="1">
      <w:start w:val="1"/>
      <w:numFmt w:val="decimal"/>
      <w:lvlText w:val="%7."/>
      <w:lvlJc w:val="left"/>
      <w:pPr>
        <w:ind w:left="4860" w:hanging="360"/>
      </w:pPr>
    </w:lvl>
    <w:lvl w:ilvl="7" w:tplc="241A0019" w:tentative="1">
      <w:start w:val="1"/>
      <w:numFmt w:val="lowerLetter"/>
      <w:lvlText w:val="%8."/>
      <w:lvlJc w:val="left"/>
      <w:pPr>
        <w:ind w:left="5580" w:hanging="360"/>
      </w:pPr>
    </w:lvl>
    <w:lvl w:ilvl="8" w:tplc="241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2667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1D"/>
    <w:rsid w:val="00107AAE"/>
    <w:rsid w:val="0073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F04"/>
  <w15:chartTrackingRefBased/>
  <w15:docId w15:val="{521E6992-AA9E-497A-9BDC-1B14150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1</cp:revision>
  <dcterms:created xsi:type="dcterms:W3CDTF">2024-04-24T09:59:00Z</dcterms:created>
  <dcterms:modified xsi:type="dcterms:W3CDTF">2024-04-24T10:03:00Z</dcterms:modified>
</cp:coreProperties>
</file>