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RUOTOLO</w:t>
      </w:r>
      <w:r>
        <w:tab/>
        <w:tab/>
      </w:r>
      <w:r>
        <w:rPr>
          <w:color w:val="111111"/>
          <w:sz w:val="24"/>
        </w:rPr>
        <w:t>(A10-0220/2026)</w:t>
      </w:r>
      <w:r>
        <w:tab/>
      </w:r>
      <w:r>
        <w:rPr>
          <w:b/>
          <w:color w:val="111111"/>
          <w:sz w:val="24"/>
        </w:rPr>
        <w:t>[init.]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Impact of social media and the online environment on young people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Culture and Education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63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69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78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85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AD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Renew:</w:t>
      </w:r>
      <w:r>
        <w:tab/>
      </w:r>
      <w:r>
        <w:tab/>
      </w:r>
      <w:r>
        <w:rPr>
          <w:sz w:val="22"/>
        </w:rPr>
        <w:t>Recital AD and § 85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split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MEPs (A)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63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“Welcomes the favourable ... (a minimum digital age);”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“takes note of … in this regard;”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</w:t>
      </w:r>
      <w:r>
        <w:rPr>
          <w:i/>
          <w:sz w:val="22"/>
        </w:rPr>
        <w:t>d part:</w:t>
      </w:r>
      <w:r>
        <w:tab/>
      </w:r>
      <w:r>
        <w:tab/>
      </w:r>
      <w:r>
        <w:rPr>
          <w:sz w:val="22"/>
        </w:rPr>
        <w:t xml:space="preserve">“stresses the need … on the matter;”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MEPs</w:t>
      </w:r>
      <w:r>
        <w:rPr>
          <w:b/>
          <w:sz w:val="22"/>
        </w:rPr>
        <w:t xml:space="preserve"> (B)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AD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 excluding the words “including age-appropriate sexual education”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78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 excluding the words “including by gender … characteristics and disability”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85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 excluding the words “and rights”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