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Strengthening global health resilience in partner countries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</w:t>
            </w:r>
            <w:r>
              <w:rPr>
                <w:b/>
                <w:i/>
                <w:sz w:val="22"/>
              </w:rPr>
              <w:t>otion for a resolution B10-0385/2026</w:t>
            </w:r>
            <w:r>
              <w:br/>
            </w:r>
            <w:r>
              <w:rPr>
                <w:b/>
                <w:i/>
                <w:sz w:val="22"/>
              </w:rPr>
              <w:t>(Committee on Development)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rPr>
          <w:sz w:val="22"/>
        </w:rPr>
        <w:t>final vote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