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Evaluation of the Common Fisheries Policy and follow-up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B10-0386/2026</w:t>
            </w:r>
            <w:r>
              <w:br/>
            </w:r>
            <w:r>
              <w:rPr>
                <w:b/>
                <w:i/>
                <w:sz w:val="22"/>
              </w:rPr>
              <w:t>(EPP, S&amp;D, ECR and Renew)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 xml:space="preserve">1 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 xml:space="preserve">4 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G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MRs replaced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B10-0387/2026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B10-0388 and B10-0389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B10-0388/2026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B10-0389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B10-0389/2026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§ 22, am 1, 2, 3, 4 and 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</w:t>
      </w:r>
      <w:r>
        <w:t xml:space="preserve"> </w:t>
      </w:r>
      <w:r>
        <w:rPr>
          <w:sz w:val="22"/>
        </w:rPr>
        <w:t>EFA:</w:t>
      </w:r>
      <w:r>
        <w:tab/>
      </w:r>
      <w:r>
        <w:rPr>
          <w:sz w:val="22"/>
        </w:rPr>
        <w:t>§ 12, 13, 20 and 22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 :</w:t>
      </w:r>
      <w:r>
        <w:tab/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§ 12 and 20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EPP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</w:t>
      </w:r>
      <w:r>
        <w:t xml:space="preserve"> </w:t>
      </w:r>
      <w:r>
        <w:rPr>
          <w:sz w:val="22"/>
        </w:rPr>
        <w:t>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 xml:space="preserve">excluding the words “the implementation of”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The Left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“, including concrete reforms"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“Notes that the … changed since 2013”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</w:t>
      </w:r>
      <w:r>
        <w:tab/>
      </w:r>
      <w:r>
        <w:rPr>
          <w:i/>
          <w:sz w:val="22"/>
        </w:rPr>
        <w:t>:</w:t>
      </w:r>
      <w:r>
        <w:tab/>
      </w:r>
      <w:r>
        <w:rPr>
          <w:sz w:val="22"/>
        </w:rPr>
        <w:t>“and, in the … and timely revision;”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“alongside greater flexibility,” and “,</w:t>
      </w:r>
      <w:r>
        <w:t xml:space="preserve"> </w:t>
      </w:r>
      <w:r>
        <w:rPr>
          <w:sz w:val="22"/>
        </w:rPr>
        <w:t>exchanges between Member States and producer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“alongside greater flexibility,”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“exchanges between Member States and producer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“Calls on the Commission to review …</w:t>
      </w:r>
      <w:r>
        <w:t xml:space="preserve"> </w:t>
      </w:r>
      <w:r>
        <w:rPr>
          <w:sz w:val="22"/>
        </w:rPr>
        <w:t>of fishing activities;”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</w:t>
      </w:r>
      <w:r>
        <w:tab/>
      </w:r>
      <w:r>
        <w:rPr>
          <w:i/>
          <w:sz w:val="22"/>
        </w:rPr>
        <w:t>:</w:t>
      </w:r>
      <w:r>
        <w:tab/>
      </w:r>
      <w:r>
        <w:rPr>
          <w:sz w:val="22"/>
        </w:rPr>
        <w:t>“calls on the Commission to address … and technical adjustments;”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Greens/ EFA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“Notes that the … changed since 2013”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</w:t>
      </w:r>
      <w:r>
        <w:tab/>
      </w:r>
      <w:r>
        <w:rPr>
          <w:i/>
          <w:sz w:val="22"/>
        </w:rPr>
        <w:t>:</w:t>
      </w:r>
      <w:r>
        <w:tab/>
      </w:r>
      <w:r>
        <w:rPr>
          <w:sz w:val="22"/>
        </w:rPr>
        <w:t xml:space="preserve">“and, in the light … and timely revision;”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“particularly in mixed … socio-economic consequences” and “alongside greater flexibility,”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“particularly in mixed … socio-economic consequences”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“alongside greater flexibility,”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renewal” and “and to revise the fishing-capacity framework” and “, renewal”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“and renewal”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 xml:space="preserve">“and to revise the fishing-capacity framework”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 xml:space="preserve">“, renewal”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Voting scheme: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“Notes that the … changed since 2013”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</w:t>
      </w:r>
      <w:r>
        <w:tab/>
      </w:r>
      <w:r>
        <w:rPr>
          <w:i/>
          <w:sz w:val="22"/>
        </w:rPr>
        <w:t>:</w:t>
      </w:r>
      <w:r>
        <w:tab/>
      </w:r>
      <w:r>
        <w:rPr>
          <w:sz w:val="22"/>
        </w:rPr>
        <w:t xml:space="preserve">“and, in the light … and timely revision;”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“particularly in mixed … socio-economic consequences”, “alongside greater flexibility,” and “, exchanges between Member States and producer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“particularly in mixed … socio-economic consequences”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 xml:space="preserve">“alongside greater flexibility,”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“, exchanges between Member States and producer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“Calls on the Commission to review …</w:t>
      </w:r>
      <w:r>
        <w:t xml:space="preserve"> </w:t>
      </w:r>
      <w:r>
        <w:rPr>
          <w:sz w:val="22"/>
        </w:rPr>
        <w:t>of fishing activities;” without “the implementation of”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“the implementation of”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on the Commission to address … and technical adjustments;”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