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ZOVKO</w:t>
      </w:r>
      <w:r>
        <w:tab/>
        <w:tab/>
      </w:r>
      <w:r>
        <w:rPr>
          <w:color w:val="111111"/>
          <w:sz w:val="24"/>
        </w:rPr>
        <w:t>(A10-0150/2025)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General Fisheries Commission for the Mediterranean (GFCM): fishing in the GFCM Agreement area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Fisheries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Provisional agreement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Provisional agreement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first reading</w:t>
            </w:r>
            <w:r>
              <w:t xml:space="preserve"> </w:t>
            </w:r>
            <w:r>
              <w:rPr>
                <w:sz w:val="22"/>
              </w:rPr>
              <w:t>closed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votes/split votes/roll-call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NONE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