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LALUCQ</w:t>
      </w:r>
      <w:r>
        <w:tab/>
        <w:tab/>
      </w:r>
      <w:r>
        <w:rPr>
          <w:color w:val="111111"/>
          <w:sz w:val="24"/>
        </w:rPr>
        <w:t>(A10-0223/2026)</w:t>
      </w:r>
      <w:r>
        <w:tab/>
      </w:r>
      <w:r>
        <w:rPr>
          <w:b/>
          <w:color w:val="111111"/>
          <w:sz w:val="24"/>
        </w:rPr>
        <w:t>[appoint.]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Appointment of the Chairperson of the European Securities and Markets Authority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Economic and Monetary Affairs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 xml:space="preserve">vote: </w:t>
            </w:r>
            <w:r>
              <w:rPr>
                <w:b/>
                <w:i/>
                <w:sz w:val="22"/>
              </w:rPr>
              <w:t>appointment of Carlo Comporti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Secret ballot (Rule 198(1))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supporting the appointment should vote “in favour”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opposing the appointment should vote “against”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