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b/>
          <w:i/>
          <w:color w:val="111111"/>
          <w:sz w:val="24"/>
        </w:rPr>
        <w:t>Resolutions:</w:t>
      </w:r>
      <w:r>
        <w:tab/>
      </w:r>
      <w:r>
        <w:rPr>
          <w:color w:val="111111"/>
          <w:sz w:val="24"/>
        </w:rPr>
        <w:t>Objection: Genetically modified soybean MON 94313</w:t>
      </w:r>
    </w:p>
    <w:p/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</w:t>
            </w:r>
            <w:r>
              <w:rPr>
                <w:b/>
                <w:i/>
                <w:sz w:val="22"/>
              </w:rPr>
              <w:t>otion for a resolution B10-0379/2026</w:t>
            </w:r>
            <w:r>
              <w:br/>
            </w:r>
            <w:r>
              <w:rPr>
                <w:b/>
                <w:i/>
                <w:sz w:val="22"/>
              </w:rPr>
              <w:t>(Committee on the Environment, Climate and Food Safety)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The Left:</w:t>
      </w:r>
      <w:r>
        <w:tab/>
      </w:r>
      <w:r>
        <w:tab/>
      </w:r>
      <w:r>
        <w:rPr>
          <w:sz w:val="22"/>
        </w:rPr>
        <w:t>final vote</w:t>
      </w: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