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JERKOVIĆ</w:t>
      </w:r>
      <w:r>
        <w:tab/>
        <w:tab/>
      </w:r>
      <w:r>
        <w:rPr>
          <w:color w:val="111111"/>
          <w:sz w:val="24"/>
        </w:rPr>
        <w:t>(A10-0221/2026)</w:t>
      </w:r>
      <w:r>
        <w:tab/>
      </w:r>
      <w:r>
        <w:rPr>
          <w:b/>
          <w:color w:val="111111"/>
          <w:sz w:val="24"/>
        </w:rPr>
        <w:t>[init.]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An EU cardiovascular diseases strategy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Public Health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 xml:space="preserve">single </w:t>
            </w:r>
            <w:r>
              <w:rPr>
                <w:b/>
                <w:i/>
                <w:sz w:val="22"/>
              </w:rPr>
              <w:t>vot</w:t>
            </w:r>
            <w:r>
              <w:rPr>
                <w:b/>
                <w:i/>
                <w:sz w:val="22"/>
              </w:rPr>
              <w:t>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