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MIKSER, MARAN, SALLA</w:t>
      </w:r>
      <w:r>
        <w:tab/>
        <w:tab/>
      </w:r>
      <w:r>
        <w:rPr>
          <w:color w:val="111111"/>
          <w:sz w:val="24"/>
        </w:rPr>
        <w:t>(A10-0273/2025)</w:t>
      </w:r>
      <w:r>
        <w:tab/>
      </w:r>
      <w:r>
        <w:rPr>
          <w:b/>
          <w:color w:val="111111"/>
          <w:sz w:val="24"/>
        </w:rPr>
        <w:t>[***I]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Defence readiness and facilitating defence investments and conditions for the defence industry (Omnibus V)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Security and Defence,  Committee on the Environment, Climate and Food Safety, Committee on Industry, Research and Energy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Proposal to reject the Commission Proposal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Rejection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Commission proposal for a regulation is rejected (Rule 60(2))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Provisional agreement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Provisional agreement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first reading</w:t>
            </w:r>
            <w:r>
              <w:t xml:space="preserve"> </w:t>
            </w:r>
            <w:r>
              <w:rPr>
                <w:sz w:val="22"/>
              </w:rPr>
              <w:t>closed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rPr>
          <w:sz w:val="22"/>
        </w:rPr>
        <w:t>Am 2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