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Proposal:</w:t>
      </w:r>
      <w:r>
        <w:tab/>
      </w:r>
      <w:r>
        <w:rPr>
          <w:color w:val="111111"/>
          <w:sz w:val="24"/>
        </w:rPr>
        <w:t>C10-0189/2026</w:t>
      </w:r>
      <w:r>
        <w:tab/>
      </w:r>
      <w:r>
        <w:tab/>
      </w:r>
      <w:r>
        <w:rPr>
          <w:b/>
          <w:color w:val="111111"/>
          <w:sz w:val="24"/>
        </w:rPr>
        <w:t>[***I]</w:t>
      </w:r>
    </w:p>
    <w:p/>
    <w:p>
      <w:r>
        <w:tab/>
      </w:r>
      <w:r>
        <w:tab/>
      </w:r>
      <w:r>
        <w:tab/>
      </w:r>
      <w:r>
        <w:rPr>
          <w:color w:val="111111"/>
          <w:sz w:val="24"/>
        </w:rPr>
        <w:t>EU Emissions Trading System: heat and fuel benchmark values for 2026-2030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6096"/>
        <w:gridCol w:w="1250"/>
        <w:gridCol w:w="709"/>
        <w:gridCol w:w="267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609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request for urgent decision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Request by ENVI committee (Rule 170(5))</w:t>
            </w: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Members wishing to approve the committee request for urgent decision should vote “in favour”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Members wishing to oppose the committee request for urgent decision should vote “against”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