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b/>
          <w:i/>
          <w:color w:val="111111"/>
          <w:sz w:val="24"/>
        </w:rPr>
        <w:t>Resolutions:</w:t>
      </w:r>
      <w:r>
        <w:tab/>
      </w:r>
      <w:r>
        <w:rPr>
          <w:color w:val="111111"/>
          <w:sz w:val="24"/>
        </w:rPr>
        <w:t>Objection: Maximum residue levels for flupyradifurone</w:t>
      </w:r>
    </w:p>
    <w:p/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 for a resolution B10-0392/2026</w:t>
            </w:r>
            <w:r>
              <w:br/>
            </w:r>
            <w:r>
              <w:rPr>
                <w:b/>
                <w:i/>
                <w:sz w:val="22"/>
              </w:rPr>
              <w:t>(Committee on the Environment, Climate and Food Safety)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Majority of Parliament’s component Members</w:t>
            </w: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separate votes/split votes/roll-call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NONE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