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REPP</w:t>
      </w:r>
      <w:r>
        <w:tab/>
        <w:tab/>
      </w:r>
      <w:r>
        <w:rPr>
          <w:color w:val="111111"/>
          <w:sz w:val="24"/>
        </w:rPr>
        <w:t>(A10-0219/2026)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The EU Youth Strategy 2019-2027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Culture and Education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40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49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 = 18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P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R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ams 7, 10, 12 and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ECR:</w:t>
      </w:r>
      <w:r>
        <w:tab/>
      </w:r>
      <w:r>
        <w:tab/>
      </w:r>
      <w:r>
        <w:rPr>
          <w:sz w:val="22"/>
        </w:rPr>
        <w:t>ams 6 and 16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