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VERSION/2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NERUDOVÁ</w:t>
      </w:r>
      <w:r>
        <w:tab/>
        <w:tab/>
      </w:r>
      <w:r>
        <w:rPr>
          <w:color w:val="111111"/>
          <w:sz w:val="24"/>
        </w:rPr>
        <w:t>(A10-0098/2026)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Market stability reserve for the buildings, road transport and additional sectors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the Environment, Climate and Food Safety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Proposal to reject the Commission Proposal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Rejection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Commission proposal for a decision is rejected (Rule 60(2))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Proposal to vote on amendments to the draft legislative act*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Procedural motion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vote on provisional agreement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Provisional agreement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Provisional agreement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first reading is closed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Draft legislative act (only if procedural motion adopted)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 xml:space="preserve">Text as a whole 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30cp1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Parts other than those mentioned below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point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Article 1, § 1, point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article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28 = 29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1</w:t>
            </w:r>
            <w:r>
              <w:t xml:space="preserve"> 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33 = 30cp2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30cp2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34 = 35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39 = 30cp3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30cp3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Commission proposal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* Under Rule 60(3) a group or the low threshold may request that Parliament vote on amendments to the draft legislative act instead of the provisional agreement. The House votes on this request.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cp = corresponding part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tab/>
      </w:r>
      <w:r>
        <w:rPr>
          <w:sz w:val="22"/>
        </w:rPr>
        <w:t>ams 33, 34, 35, 36, 40, 41, and recital 1of the Commission proposal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