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PETROV</w:t>
      </w:r>
      <w:r>
        <w:tab/>
        <w:tab/>
      </w:r>
      <w:r>
        <w:rPr>
          <w:color w:val="111111"/>
          <w:sz w:val="24"/>
        </w:rPr>
        <w:t>(A10-0218/2026)</w:t>
      </w:r>
      <w:r>
        <w:tab/>
      </w:r>
      <w:r>
        <w:rPr>
          <w:b/>
          <w:color w:val="111111"/>
          <w:sz w:val="24"/>
        </w:rPr>
        <w:t>[init.]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Implementation of the Council Recommendation on A Bridge to Jobs – Reinforcing the Youth Guarantee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Employment and Social Affairs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33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52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54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55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57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59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69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72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74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Renew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75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Renew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81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83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87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88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Greens/ EFA:</w:t>
      </w:r>
      <w:r>
        <w:tab/>
      </w:r>
      <w:r>
        <w:rPr>
          <w:sz w:val="22"/>
        </w:rPr>
        <w:t>am 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S&amp;D:</w:t>
      </w:r>
      <w:r>
        <w:tab/>
      </w:r>
      <w:r>
        <w:tab/>
      </w:r>
      <w:r>
        <w:rPr>
          <w:sz w:val="22"/>
        </w:rPr>
        <w:t>am 3 and 11, § 74, 75 and 83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ESN:</w:t>
      </w:r>
      <w:r>
        <w:tab/>
      </w:r>
      <w:r>
        <w:tab/>
      </w:r>
      <w:r>
        <w:rPr>
          <w:sz w:val="22"/>
        </w:rPr>
        <w:t>am 4, 5, 6, 7, 8, 9 and 10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Renew:</w:t>
      </w:r>
      <w:r>
        <w:tab/>
      </w:r>
      <w:r>
        <w:tab/>
      </w:r>
      <w:r>
        <w:rPr>
          <w:sz w:val="22"/>
        </w:rPr>
        <w:t>§ 15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EPP:</w:t>
      </w:r>
      <w:r>
        <w:tab/>
      </w:r>
      <w:r>
        <w:tab/>
      </w:r>
      <w:r>
        <w:rPr>
          <w:sz w:val="22"/>
        </w:rPr>
        <w:t>§ 15 and 33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split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EPP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54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“of all kinds”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69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“and fairly remunerated”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72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“including pay and social protection,”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81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“fairly remunerated and”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83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“fairly remunerated,” and “emphasises that unpaid … labour market policies,”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“fairly remunerated”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“emphasises that unpaid … labour market policies,”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