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</w:t>
      </w:r>
    </w:p>
    <w:p/>
    <w:p>
      <w:r>
        <w:tab/>
      </w:r>
      <w:r>
        <w:rPr>
          <w:i/>
          <w:color w:val="111111"/>
          <w:sz w:val="24"/>
        </w:rPr>
        <w:t>Report:</w:t>
      </w:r>
      <w:r>
        <w:tab/>
      </w:r>
      <w:r>
        <w:rPr>
          <w:color w:val="111111"/>
          <w:sz w:val="24"/>
        </w:rPr>
        <w:t>RUOTOLO</w:t>
      </w:r>
      <w:r>
        <w:tab/>
        <w:tab/>
      </w:r>
      <w:r>
        <w:rPr>
          <w:color w:val="111111"/>
          <w:sz w:val="24"/>
        </w:rPr>
        <w:t>(A10-0220/2026)</w:t>
      </w:r>
      <w:r>
        <w:tab/>
      </w:r>
      <w:r>
        <w:rPr>
          <w:b/>
          <w:color w:val="111111"/>
          <w:sz w:val="24"/>
        </w:rPr>
        <w:t>[init.]</w:t>
      </w:r>
    </w:p>
    <w:p>
      <w:r>
        <w:tab/>
      </w:r>
      <w:r>
        <w:tab/>
      </w:r>
      <w:r>
        <w:tab/>
      </w:r>
      <w:r>
        <w:rPr>
          <w:color w:val="111111"/>
          <w:sz w:val="24"/>
        </w:rPr>
        <w:t>Impact of social media and the online environment on young people</w:t>
      </w:r>
    </w:p>
    <w:p>
      <w:pPr>
        <w:rPr>
          <w:color w:val="111111"/>
          <w:sz w:val="24"/>
        </w:rPr>
      </w:pPr>
    </w:p>
    <w:p>
      <w:r>
        <w:tab/>
      </w:r>
      <w:r>
        <w:rPr>
          <w:i/>
          <w:color w:val="111111"/>
          <w:sz w:val="24"/>
        </w:rPr>
        <w:t>Committee:</w:t>
      </w:r>
      <w:r>
        <w:tab/>
      </w:r>
      <w:r>
        <w:rPr>
          <w:color w:val="111111"/>
          <w:sz w:val="24"/>
        </w:rPr>
        <w:t>Committee on Culture and Education</w:t>
      </w:r>
    </w:p>
    <w:p>
      <w:pPr>
        <w:rPr>
          <w:color w:val="111111"/>
          <w:sz w:val="24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63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69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78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85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Recital AD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 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Renew:</w:t>
      </w:r>
      <w:r>
        <w:tab/>
      </w:r>
      <w:r>
        <w:tab/>
      </w:r>
      <w:r>
        <w:rPr>
          <w:sz w:val="22"/>
        </w:rPr>
        <w:t>Recital AD and § 85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split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MEPs (A)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63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“Welcomes the favourable ... (a minimum digital age);”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“takes note of … in this regard;”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</w:t>
      </w:r>
      <w:r>
        <w:rPr>
          <w:i/>
          <w:sz w:val="22"/>
        </w:rPr>
        <w:t>d part:</w:t>
      </w:r>
      <w:r>
        <w:tab/>
      </w:r>
      <w:r>
        <w:tab/>
      </w:r>
      <w:r>
        <w:rPr>
          <w:sz w:val="22"/>
        </w:rPr>
        <w:t xml:space="preserve">“stresses the need … on the matter;” </w:t>
      </w:r>
      <w:r>
        <w:rPr>
          <w:b/>
          <w:i/>
          <w:sz w:val="22"/>
        </w:rPr>
        <w:t>[ROLL-CALL VOTE]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</w:rPr>
        <w:t>MEPs</w:t>
      </w:r>
      <w:r>
        <w:rPr>
          <w:b/>
          <w:sz w:val="22"/>
        </w:rPr>
        <w:t xml:space="preserve"> (B)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Recital AD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“including age-appropriate sexual education”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78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“including by gender … characteristics and disability”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85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Text as a whole excluding the words “and rights”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These words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