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LALUCQ</w:t>
      </w:r>
      <w:r>
        <w:tab/>
        <w:tab/>
      </w:r>
      <w:r>
        <w:rPr>
          <w:color w:val="111111"/>
          <w:sz w:val="24"/>
        </w:rPr>
        <w:t>(A10-0222/2026)</w:t>
      </w:r>
      <w:r>
        <w:tab/>
      </w:r>
      <w:r>
        <w:rPr>
          <w:b/>
          <w:color w:val="111111"/>
          <w:sz w:val="24"/>
        </w:rPr>
        <w:t>[appoint.]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Appointment of the Executive Director of the European Banking Authority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Economic and Monetary Affairs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 xml:space="preserve">vote: </w:t>
            </w:r>
            <w:r>
              <w:rPr>
                <w:b/>
                <w:i/>
                <w:sz w:val="22"/>
              </w:rPr>
              <w:t xml:space="preserve">appointment of Thomas </w:t>
            </w:r>
            <w:r>
              <w:rPr>
                <w:b/>
                <w:i/>
                <w:sz w:val="22"/>
              </w:rPr>
              <w:t>Gstädtner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Secret ballot (Rule 198(1))</w:t>
            </w: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supporting the appointment should vote “in favour”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Members opposing the appointment should vote “against”</w:t>
      </w: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