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DO NASCIMENTO CABRAL</w:t>
      </w:r>
      <w:r>
        <w:tab/>
        <w:tab/>
      </w:r>
      <w:r>
        <w:rPr>
          <w:color w:val="111111"/>
          <w:sz w:val="24"/>
        </w:rPr>
        <w:t>(A10-0205/2026)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The role of social, economic and environmental standards in safeguarding fair competition for all aquatic food products and improving food security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Fisheries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 xml:space="preserve">single </w:t>
            </w:r>
            <w:r>
              <w:rPr>
                <w:b/>
                <w:i/>
                <w:sz w:val="22"/>
              </w:rPr>
              <w:t>vote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