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5.9.0.0 -->
  <w:body>
    <w:p>
      <w:pPr>
        <w:ind w:right="-716"/>
        <w:rPr>
          <w:b/>
          <w:i/>
        </w:rPr>
      </w:pPr>
      <w:r>
        <w:rPr>
          <w:b/>
          <w:caps/>
          <w:sz w:val="16"/>
        </w:rPr>
        <w:t>TABLING SERVICE</w:t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b/>
          <w:i/>
        </w:rPr>
        <w:t>INDICATIVE VOTING LIST</w:t>
      </w:r>
    </w:p>
    <w:p/>
    <w:p>
      <w:pPr>
        <w:jc w:val="center"/>
      </w:pPr>
      <w:r>
        <w:rPr>
          <w:b/>
          <w:i/>
          <w:smallCaps/>
          <w:sz w:val="40"/>
        </w:rPr>
        <w:t>FINAL VERSION</w:t>
      </w:r>
    </w:p>
    <w:p/>
    <w:p>
      <w:r>
        <w:tab/>
      </w:r>
      <w:r>
        <w:rPr>
          <w:i/>
          <w:color w:val="111111"/>
          <w:sz w:val="24"/>
        </w:rPr>
        <w:t>Report:</w:t>
      </w:r>
      <w:r>
        <w:tab/>
      </w:r>
      <w:r>
        <w:rPr>
          <w:color w:val="111111"/>
          <w:sz w:val="24"/>
        </w:rPr>
        <w:t>KELLEHER</w:t>
      </w:r>
      <w:r>
        <w:tab/>
        <w:tab/>
      </w:r>
      <w:r>
        <w:rPr>
          <w:color w:val="111111"/>
          <w:sz w:val="24"/>
        </w:rPr>
        <w:t>(A10-0200/2026)</w:t>
      </w:r>
      <w:r>
        <w:tab/>
      </w:r>
      <w:r>
        <w:rPr>
          <w:b/>
          <w:color w:val="111111"/>
          <w:sz w:val="24"/>
        </w:rPr>
        <w:t>[init.]</w:t>
      </w:r>
    </w:p>
    <w:p>
      <w:r>
        <w:tab/>
      </w:r>
      <w:r>
        <w:tab/>
      </w:r>
      <w:r>
        <w:tab/>
      </w:r>
      <w:r>
        <w:rPr>
          <w:color w:val="111111"/>
          <w:sz w:val="24"/>
        </w:rPr>
        <w:t>Gender inequalities in health, specifically as regards gender-specific conditions</w:t>
      </w:r>
    </w:p>
    <w:p>
      <w:pPr>
        <w:rPr>
          <w:color w:val="111111"/>
          <w:sz w:val="24"/>
        </w:rPr>
      </w:pPr>
    </w:p>
    <w:p>
      <w:r>
        <w:tab/>
      </w:r>
      <w:r>
        <w:rPr>
          <w:i/>
          <w:color w:val="111111"/>
          <w:sz w:val="24"/>
        </w:rPr>
        <w:t>Committee:</w:t>
      </w:r>
      <w:r>
        <w:tab/>
      </w:r>
      <w:r>
        <w:rPr>
          <w:color w:val="111111"/>
          <w:sz w:val="24"/>
        </w:rPr>
        <w:t>Committee on Women’s Rights and Gender Equality</w:t>
      </w:r>
    </w:p>
    <w:p>
      <w:pPr>
        <w:rPr>
          <w:color w:val="111111"/>
          <w:sz w:val="24"/>
        </w:rPr>
      </w:pPr>
    </w:p>
    <w:tbl>
      <w:tblPr>
        <w:tblW w:w="0" w:type="auto"/>
        <w:tblInd w:w="108" w:type="dxa"/>
        <w:tblBorders>
          <w:top w:val="single" w:sz="12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bottom w:w="0" w:type="dxa"/>
        </w:tblCellMar>
        <w:tblLook w:val="0000"/>
      </w:tblPr>
      <w:tblGrid>
        <w:gridCol w:w="2636"/>
        <w:gridCol w:w="992"/>
        <w:gridCol w:w="1968"/>
        <w:gridCol w:w="1250"/>
        <w:gridCol w:w="709"/>
        <w:gridCol w:w="3126"/>
      </w:tblGrid>
      <w:tr>
        <w:tblPrEx>
          <w:tblW w:w="0" w:type="auto"/>
          <w:tblInd w:w="108" w:type="dxa"/>
          <w:tblBorders>
            <w:top w:val="single" w:sz="12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bottom w:w="0" w:type="dxa"/>
          </w:tblCellMar>
          <w:tblLook w:val="0000"/>
        </w:tblPrEx>
        <w:trPr>
          <w:tblHeader/>
        </w:trPr>
        <w:tc>
          <w:tcPr>
            <w:tcW w:w="2636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Subject of the amendment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Am No</w:t>
            </w:r>
          </w:p>
        </w:tc>
        <w:tc>
          <w:tcPr>
            <w:tcW w:w="1968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Author</w:t>
            </w:r>
          </w:p>
        </w:tc>
        <w:tc>
          <w:tcPr>
            <w:tcW w:w="1250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RCV etc.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Vote</w:t>
            </w:r>
          </w:p>
        </w:tc>
        <w:tc>
          <w:tcPr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Remarks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Before § 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MEPs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1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</w:t>
            </w:r>
            <w:r>
              <w:t xml:space="preserve"> </w:t>
            </w:r>
            <w:r>
              <w:rPr>
                <w:b/>
                <w:i/>
                <w:sz w:val="22"/>
              </w:rPr>
              <w:t>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3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2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</w:t>
            </w:r>
            <w:r>
              <w:t xml:space="preserve"> </w:t>
            </w:r>
            <w:r>
              <w:rPr>
                <w:b/>
                <w:i/>
                <w:sz w:val="22"/>
              </w:rPr>
              <w:t>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3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</w:t>
            </w:r>
            <w:r>
              <w:t xml:space="preserve"> </w:t>
            </w:r>
            <w:r>
              <w:rPr>
                <w:b/>
                <w:i/>
                <w:sz w:val="22"/>
              </w:rPr>
              <w:t>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</w:t>
            </w:r>
            <w:r>
              <w:t xml:space="preserve"> </w:t>
            </w: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</w:t>
            </w:r>
            <w:r>
              <w:t xml:space="preserve"> </w:t>
            </w: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4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</w:t>
            </w:r>
            <w:r>
              <w:t xml:space="preserve"> </w:t>
            </w:r>
            <w:r>
              <w:rPr>
                <w:b/>
                <w:i/>
                <w:sz w:val="22"/>
              </w:rPr>
              <w:t>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6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</w:t>
            </w:r>
            <w:r>
              <w:t xml:space="preserve"> </w:t>
            </w:r>
            <w:r>
              <w:rPr>
                <w:b/>
                <w:i/>
                <w:sz w:val="22"/>
              </w:rPr>
              <w:t>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3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4</w:t>
            </w:r>
            <w:r>
              <w:t xml:space="preserve"> </w:t>
            </w: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5</w:t>
            </w:r>
            <w:r>
              <w:t xml:space="preserve"> </w:t>
            </w: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§ 6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6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MEPs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7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</w:t>
            </w:r>
            <w:r>
              <w:t xml:space="preserve"> </w:t>
            </w:r>
            <w:r>
              <w:rPr>
                <w:b/>
                <w:i/>
                <w:sz w:val="22"/>
              </w:rPr>
              <w:t>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§ 7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MEPs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8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 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</w:t>
            </w:r>
            <w:r>
              <w:t xml:space="preserve"> </w:t>
            </w: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</w:t>
            </w:r>
            <w:r>
              <w:t xml:space="preserve"> </w:t>
            </w: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3</w:t>
            </w:r>
            <w:r>
              <w:t xml:space="preserve"> </w:t>
            </w: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10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</w:t>
            </w:r>
            <w:r>
              <w:t xml:space="preserve"> </w:t>
            </w:r>
            <w:r>
              <w:rPr>
                <w:b/>
                <w:i/>
                <w:sz w:val="22"/>
              </w:rPr>
              <w:t>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3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§ 10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MEPs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11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</w:t>
            </w:r>
            <w:r>
              <w:t xml:space="preserve"> </w:t>
            </w:r>
            <w:r>
              <w:rPr>
                <w:b/>
                <w:i/>
                <w:sz w:val="22"/>
              </w:rPr>
              <w:t>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13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</w:t>
            </w:r>
            <w:r>
              <w:t xml:space="preserve"> </w:t>
            </w:r>
            <w:r>
              <w:rPr>
                <w:b/>
                <w:i/>
                <w:sz w:val="22"/>
              </w:rPr>
              <w:t>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16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</w:t>
            </w:r>
            <w:r>
              <w:t xml:space="preserve"> </w:t>
            </w:r>
            <w:r>
              <w:rPr>
                <w:b/>
                <w:i/>
                <w:sz w:val="22"/>
              </w:rPr>
              <w:t>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</w:t>
            </w:r>
            <w:r>
              <w:t xml:space="preserve"> </w:t>
            </w: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</w:t>
            </w:r>
            <w:r>
              <w:t xml:space="preserve"> </w:t>
            </w: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3</w:t>
            </w:r>
            <w:r>
              <w:t xml:space="preserve"> </w:t>
            </w: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4</w:t>
            </w:r>
            <w:r>
              <w:t xml:space="preserve"> </w:t>
            </w: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18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</w:t>
            </w:r>
            <w:r>
              <w:t xml:space="preserve"> </w:t>
            </w:r>
            <w:r>
              <w:rPr>
                <w:b/>
                <w:i/>
                <w:sz w:val="22"/>
              </w:rPr>
              <w:t>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</w:t>
            </w:r>
            <w:r>
              <w:t xml:space="preserve"> </w:t>
            </w: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</w:t>
            </w:r>
            <w:r>
              <w:t xml:space="preserve"> </w:t>
            </w: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3</w:t>
            </w:r>
            <w:r>
              <w:t xml:space="preserve"> </w:t>
            </w: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After § 19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7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MEPs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8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MEPs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21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 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</w:t>
            </w:r>
            <w:r>
              <w:t xml:space="preserve"> </w:t>
            </w: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</w:t>
            </w:r>
            <w:r>
              <w:t xml:space="preserve"> </w:t>
            </w: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24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</w:t>
            </w:r>
            <w:r>
              <w:t xml:space="preserve"> </w:t>
            </w:r>
            <w:r>
              <w:rPr>
                <w:b/>
                <w:i/>
                <w:sz w:val="22"/>
              </w:rPr>
              <w:t>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</w:t>
            </w:r>
            <w:r>
              <w:t xml:space="preserve"> </w:t>
            </w: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</w:t>
            </w:r>
            <w:r>
              <w:t xml:space="preserve"> </w:t>
            </w: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27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</w:t>
            </w:r>
            <w:r>
              <w:t xml:space="preserve"> </w:t>
            </w:r>
            <w:r>
              <w:rPr>
                <w:b/>
                <w:i/>
                <w:sz w:val="22"/>
              </w:rPr>
              <w:t>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3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39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</w:t>
            </w:r>
            <w:r>
              <w:t xml:space="preserve"> </w:t>
            </w:r>
            <w:r>
              <w:rPr>
                <w:b/>
                <w:i/>
                <w:sz w:val="22"/>
              </w:rPr>
              <w:t>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 41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</w:t>
            </w:r>
            <w:r>
              <w:t xml:space="preserve"> </w:t>
            </w:r>
            <w:r>
              <w:rPr>
                <w:b/>
                <w:i/>
                <w:sz w:val="22"/>
              </w:rPr>
              <w:t>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42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</w:t>
            </w:r>
            <w:r>
              <w:t xml:space="preserve"> </w:t>
            </w:r>
            <w:r>
              <w:rPr>
                <w:b/>
                <w:i/>
                <w:sz w:val="22"/>
              </w:rPr>
              <w:t>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43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</w:t>
            </w:r>
            <w:r>
              <w:t xml:space="preserve"> </w:t>
            </w:r>
            <w:r>
              <w:rPr>
                <w:b/>
                <w:i/>
                <w:sz w:val="22"/>
              </w:rPr>
              <w:t>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</w:t>
            </w:r>
            <w:r>
              <w:t xml:space="preserve"> </w:t>
            </w: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</w:t>
            </w:r>
            <w:r>
              <w:t xml:space="preserve"> </w:t>
            </w: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 44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</w:t>
            </w:r>
            <w:r>
              <w:t xml:space="preserve"> </w:t>
            </w:r>
            <w:r>
              <w:rPr>
                <w:b/>
                <w:i/>
                <w:sz w:val="22"/>
              </w:rPr>
              <w:t>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45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</w:t>
            </w:r>
            <w:r>
              <w:t xml:space="preserve"> </w:t>
            </w:r>
            <w:r>
              <w:rPr>
                <w:b/>
                <w:i/>
                <w:sz w:val="22"/>
              </w:rPr>
              <w:t>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</w:t>
            </w:r>
            <w:r>
              <w:t xml:space="preserve"> </w:t>
            </w: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</w:t>
            </w:r>
            <w:r>
              <w:t xml:space="preserve"> </w:t>
            </w: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3</w:t>
            </w:r>
            <w:r>
              <w:t xml:space="preserve"> </w:t>
            </w: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46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</w:t>
            </w:r>
            <w:r>
              <w:t xml:space="preserve"> </w:t>
            </w:r>
            <w:r>
              <w:rPr>
                <w:b/>
                <w:i/>
                <w:sz w:val="22"/>
              </w:rPr>
              <w:t>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</w:t>
            </w:r>
            <w:r>
              <w:t xml:space="preserve"> </w:t>
            </w: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</w:t>
            </w:r>
            <w:r>
              <w:t xml:space="preserve"> </w:t>
            </w: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48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</w:t>
            </w:r>
            <w:r>
              <w:t xml:space="preserve"> </w:t>
            </w:r>
            <w:r>
              <w:rPr>
                <w:b/>
                <w:i/>
                <w:sz w:val="22"/>
              </w:rPr>
              <w:t>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</w:t>
            </w:r>
            <w:r>
              <w:t xml:space="preserve"> </w:t>
            </w: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</w:t>
            </w:r>
            <w:r>
              <w:t xml:space="preserve"> </w:t>
            </w: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3</w:t>
            </w:r>
            <w:r>
              <w:t xml:space="preserve"> </w:t>
            </w: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58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</w:t>
            </w:r>
            <w:r>
              <w:t xml:space="preserve"> </w:t>
            </w:r>
            <w:r>
              <w:rPr>
                <w:b/>
                <w:i/>
                <w:sz w:val="22"/>
              </w:rPr>
              <w:t>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3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 60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</w:t>
            </w:r>
            <w:r>
              <w:t xml:space="preserve"> </w:t>
            </w:r>
            <w:r>
              <w:rPr>
                <w:b/>
                <w:i/>
                <w:sz w:val="22"/>
              </w:rPr>
              <w:t>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§ 60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4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MEPs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62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</w:t>
            </w:r>
            <w:r>
              <w:t xml:space="preserve"> </w:t>
            </w:r>
            <w:r>
              <w:rPr>
                <w:b/>
                <w:i/>
                <w:sz w:val="22"/>
              </w:rPr>
              <w:t>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</w:t>
            </w:r>
            <w:r>
              <w:t xml:space="preserve"> </w:t>
            </w: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</w:t>
            </w:r>
            <w:r>
              <w:t xml:space="preserve"> </w:t>
            </w: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3</w:t>
            </w:r>
            <w:r>
              <w:t xml:space="preserve"> </w:t>
            </w: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 63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</w:t>
            </w:r>
            <w:r>
              <w:t xml:space="preserve"> </w:t>
            </w:r>
            <w:r>
              <w:rPr>
                <w:b/>
                <w:i/>
                <w:sz w:val="22"/>
              </w:rPr>
              <w:t>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</w:t>
            </w:r>
            <w:r>
              <w:t xml:space="preserve"> </w:t>
            </w: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</w:t>
            </w:r>
            <w:r>
              <w:t xml:space="preserve"> </w:t>
            </w: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3</w:t>
            </w:r>
            <w:r>
              <w:t xml:space="preserve"> </w:t>
            </w: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Recital B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</w:t>
            </w:r>
            <w:r>
              <w:t xml:space="preserve"> </w:t>
            </w:r>
            <w:r>
              <w:rPr>
                <w:b/>
                <w:i/>
                <w:sz w:val="22"/>
              </w:rPr>
              <w:t>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</w:t>
            </w:r>
            <w:r>
              <w:t xml:space="preserve"> </w:t>
            </w: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</w:t>
            </w:r>
            <w:r>
              <w:t xml:space="preserve"> </w:t>
            </w: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Recital C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</w:t>
            </w:r>
            <w:r>
              <w:t xml:space="preserve"> </w:t>
            </w:r>
            <w:r>
              <w:rPr>
                <w:b/>
                <w:i/>
                <w:sz w:val="22"/>
              </w:rPr>
              <w:t>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Recital D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</w:t>
            </w:r>
            <w:r>
              <w:t xml:space="preserve"> </w:t>
            </w:r>
            <w:r>
              <w:rPr>
                <w:b/>
                <w:i/>
                <w:sz w:val="22"/>
              </w:rPr>
              <w:t>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Recital G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</w:t>
            </w:r>
            <w:r>
              <w:t xml:space="preserve"> </w:t>
            </w:r>
            <w:r>
              <w:rPr>
                <w:b/>
                <w:i/>
                <w:sz w:val="22"/>
              </w:rPr>
              <w:t>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Recital J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</w:t>
            </w:r>
            <w:r>
              <w:t xml:space="preserve"> </w:t>
            </w:r>
            <w:r>
              <w:rPr>
                <w:b/>
                <w:i/>
                <w:sz w:val="22"/>
              </w:rPr>
              <w:t>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</w:t>
            </w:r>
            <w:r>
              <w:t xml:space="preserve"> </w:t>
            </w: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</w:t>
            </w:r>
            <w:r>
              <w:t xml:space="preserve"> </w:t>
            </w: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Recital O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</w:t>
            </w:r>
            <w:r>
              <w:t xml:space="preserve"> </w:t>
            </w:r>
            <w:r>
              <w:rPr>
                <w:b/>
                <w:i/>
                <w:sz w:val="22"/>
              </w:rPr>
              <w:t>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3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Recital W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</w:t>
            </w:r>
            <w:r>
              <w:t xml:space="preserve"> </w:t>
            </w:r>
            <w:r>
              <w:rPr>
                <w:b/>
                <w:i/>
                <w:sz w:val="22"/>
              </w:rPr>
              <w:t>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3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Recital Z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</w:t>
            </w:r>
            <w:r>
              <w:t xml:space="preserve"> </w:t>
            </w:r>
            <w:r>
              <w:rPr>
                <w:b/>
                <w:i/>
                <w:sz w:val="22"/>
              </w:rPr>
              <w:t>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Recital AA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</w:t>
            </w:r>
            <w:r>
              <w:t xml:space="preserve"> </w:t>
            </w:r>
            <w:r>
              <w:rPr>
                <w:b/>
                <w:i/>
                <w:sz w:val="22"/>
              </w:rPr>
              <w:t>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Recital AB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</w:t>
            </w:r>
            <w:r>
              <w:t xml:space="preserve"> </w:t>
            </w:r>
            <w:r>
              <w:rPr>
                <w:b/>
                <w:i/>
                <w:sz w:val="22"/>
              </w:rPr>
              <w:t>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Recital AC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</w:t>
            </w:r>
            <w:r>
              <w:t xml:space="preserve"> </w:t>
            </w:r>
            <w:r>
              <w:rPr>
                <w:b/>
                <w:i/>
                <w:sz w:val="22"/>
              </w:rPr>
              <w:t>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split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1</w:t>
            </w:r>
            <w:r>
              <w:t xml:space="preserve"> </w:t>
            </w: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2</w:t>
            </w:r>
            <w:r>
              <w:t xml:space="preserve"> </w:t>
            </w: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Recital AE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5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MEPs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Citation 9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 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Citation 10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</w:t>
            </w:r>
            <w:r>
              <w:t xml:space="preserve"> </w:t>
            </w:r>
            <w:r>
              <w:rPr>
                <w:b/>
                <w:i/>
                <w:sz w:val="22"/>
              </w:rPr>
              <w:t>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separate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Citation 19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original</w:t>
            </w:r>
            <w:r>
              <w:t xml:space="preserve"> </w:t>
            </w:r>
            <w:r>
              <w:rPr>
                <w:b/>
                <w:i/>
                <w:sz w:val="22"/>
              </w:rPr>
              <w:t>text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3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vote: resolution (as a whole)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</w:tbl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  <w:u w:val="single"/>
        </w:rPr>
        <w:t>Requests for roll-call votes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MEPs (B):</w:t>
      </w:r>
      <w:r>
        <w:tab/>
      </w:r>
      <w:r>
        <w:tab/>
      </w:r>
      <w:r>
        <w:rPr>
          <w:sz w:val="22"/>
        </w:rPr>
        <w:t>Recital D and § 60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Renew:</w:t>
      </w:r>
      <w:r>
        <w:tab/>
      </w:r>
      <w:r>
        <w:tab/>
      </w:r>
      <w:r>
        <w:rPr>
          <w:sz w:val="22"/>
        </w:rPr>
        <w:t>Am 6, 7, 8, citations 9 and 19, Recital B, J, Z, AA, AB, AC, § 3, 8, 16, 18, 21, 24, 41, 43, 44, 45,46, 48, 60, 62 and 63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  <w:u w:val="single"/>
        </w:rPr>
        <w:t>Requests</w:t>
      </w:r>
      <w:r>
        <w:t xml:space="preserve"> </w:t>
      </w:r>
      <w:r>
        <w:rPr>
          <w:i/>
          <w:sz w:val="22"/>
          <w:u w:val="single"/>
        </w:rPr>
        <w:t>for separate votes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MEPs (A):</w:t>
      </w:r>
      <w:r>
        <w:tab/>
      </w:r>
      <w:r>
        <w:tab/>
      </w:r>
      <w:r>
        <w:rPr>
          <w:sz w:val="22"/>
        </w:rPr>
        <w:t>Citation 9, 10 and 19, Recital Z, AA and AB and § 41 and 44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  <w:u w:val="single"/>
        </w:rPr>
        <w:t>Requests for split votes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</w:rPr>
        <w:t>MEPs (A)</w:t>
      </w:r>
      <w:r>
        <w:rPr>
          <w:sz w:val="22"/>
        </w:rPr>
        <w:t>: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</w:rPr>
        <w:t>Recital B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“whereas multiple and … communities in particular;”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“whereas an intersectional … is therefore essential;”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</w:rPr>
        <w:t>Recital C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</w:t>
      </w:r>
      <w:r>
        <w:t xml:space="preserve"> </w:t>
      </w:r>
      <w:r>
        <w:rPr>
          <w:sz w:val="22"/>
        </w:rPr>
        <w:t>excluding the words ”, culturally sensitive and”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those words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</w:rPr>
        <w:t>Recital G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“whereas medical research … population, including women”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“and gender-diverse people;”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</w:rPr>
        <w:t>Recital J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</w:t>
      </w:r>
      <w:r>
        <w:t xml:space="preserve"> </w:t>
      </w:r>
      <w:r>
        <w:rPr>
          <w:sz w:val="22"/>
        </w:rPr>
        <w:t>excluding the words ” transgender, non-binary and intersex people and”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these words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</w:rPr>
        <w:t>Recital O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</w:t>
      </w:r>
      <w:r>
        <w:t xml:space="preserve"> </w:t>
      </w:r>
      <w:r>
        <w:rPr>
          <w:sz w:val="22"/>
        </w:rPr>
        <w:t>excluding the words “and abortion care” and “, as well as intersex and transgender people”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“and abortion care”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3rd part:</w:t>
      </w:r>
      <w:r>
        <w:tab/>
      </w:r>
      <w:r>
        <w:tab/>
      </w:r>
      <w:r>
        <w:rPr>
          <w:sz w:val="22"/>
        </w:rPr>
        <w:t>“, as well as intersex and transgender people”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</w:rPr>
        <w:t>Recital W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</w:t>
      </w:r>
      <w:r>
        <w:t xml:space="preserve"> </w:t>
      </w:r>
      <w:r>
        <w:rPr>
          <w:sz w:val="22"/>
        </w:rPr>
        <w:t>excluding the words “climate-related health threats” and “, notably related to sexual and reproductive health and rights (SRHR)”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“climate-related health threats”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3rd part:</w:t>
      </w:r>
      <w:r>
        <w:tab/>
      </w:r>
      <w:r>
        <w:tab/>
      </w:r>
      <w:r>
        <w:rPr>
          <w:sz w:val="22"/>
        </w:rPr>
        <w:t>“, notably related to sexual and reproductive health and rights (SRHR)”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</w:rPr>
        <w:t>Recital AC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“whereas 14 % of LGBTIQ+ people … in healthcare settings;”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“whereas many Member … transition-related healthcare;”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</w:rPr>
        <w:t>§ 1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</w:t>
      </w:r>
      <w:r>
        <w:t xml:space="preserve"> </w:t>
      </w:r>
      <w:r>
        <w:rPr>
          <w:sz w:val="22"/>
        </w:rPr>
        <w:t>excluding the words  “ systemic” and “and gender-diverse people”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“systematic”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3rd part:</w:t>
      </w:r>
      <w:r>
        <w:tab/>
      </w:r>
      <w:r>
        <w:tab/>
      </w:r>
      <w:r>
        <w:rPr>
          <w:sz w:val="22"/>
        </w:rPr>
        <w:t>“and gender-diverse people”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</w:rPr>
        <w:t>§ 2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</w:t>
      </w:r>
      <w:r>
        <w:t xml:space="preserve"> </w:t>
      </w:r>
      <w:r>
        <w:rPr>
          <w:sz w:val="22"/>
        </w:rPr>
        <w:t>excluding the words “, including sexual and reproductive health services,”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these words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</w:rPr>
        <w:t>§ 3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“Highlights that inequalities … of their liberty;”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“stresses that employment, … care for women;”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</w:rPr>
        <w:t>§ 4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</w:t>
      </w:r>
      <w:r>
        <w:t xml:space="preserve"> </w:t>
      </w:r>
      <w:r>
        <w:rPr>
          <w:sz w:val="22"/>
        </w:rPr>
        <w:t>excluding the words  “ and culturally”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these words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</w:rPr>
        <w:t>§ 6: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</w:t>
      </w:r>
      <w:r>
        <w:t xml:space="preserve"> </w:t>
      </w:r>
      <w:r>
        <w:rPr>
          <w:sz w:val="22"/>
        </w:rPr>
        <w:t>excluding the words “to take a holistic, rights-based and intersectional approach “,” binding,” and “and social”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“to take a holistic, rights-based and intersectional approach”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3rd part:</w:t>
      </w:r>
      <w:r>
        <w:tab/>
      </w:r>
      <w:r>
        <w:tab/>
      </w:r>
      <w:r>
        <w:rPr>
          <w:sz w:val="22"/>
        </w:rPr>
        <w:t>“binding,”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4th part:</w:t>
      </w:r>
      <w:r>
        <w:tab/>
      </w:r>
      <w:r>
        <w:tab/>
      </w:r>
      <w:r>
        <w:rPr>
          <w:sz w:val="22"/>
        </w:rPr>
        <w:t>“and social”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</w:rPr>
        <w:t>§ 7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</w:t>
      </w:r>
      <w:r>
        <w:t xml:space="preserve"> </w:t>
      </w:r>
      <w:r>
        <w:rPr>
          <w:sz w:val="22"/>
        </w:rPr>
        <w:t>excluding the words  “and binding”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these words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</w:rPr>
        <w:t>§ 8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“Calls on the Commission and the Member States … about their health;”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“stresses the importance … gender-based violence;”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3rd part:</w:t>
      </w:r>
      <w:r>
        <w:tab/>
      </w:r>
      <w:r>
        <w:tab/>
      </w:r>
      <w:r>
        <w:rPr>
          <w:sz w:val="22"/>
        </w:rPr>
        <w:t>“calls on the Commission … with UNESCO standards;”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</w:rPr>
        <w:t>§ 10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</w:t>
      </w:r>
      <w:r>
        <w:t xml:space="preserve"> </w:t>
      </w:r>
      <w:r>
        <w:rPr>
          <w:sz w:val="22"/>
        </w:rPr>
        <w:t>excluding the words</w:t>
      </w:r>
      <w:r>
        <w:t xml:space="preserve"> </w:t>
      </w:r>
      <w:r>
        <w:rPr>
          <w:sz w:val="22"/>
        </w:rPr>
        <w:t>”mandatory” and “gender-sensitive”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“mandatory “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3rd part:</w:t>
      </w:r>
      <w:r>
        <w:tab/>
      </w:r>
      <w:r>
        <w:tab/>
      </w:r>
      <w:r>
        <w:rPr>
          <w:sz w:val="22"/>
        </w:rPr>
        <w:t>“gender-sensitive”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</w:rPr>
        <w:t>§ 11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</w:t>
      </w:r>
      <w:r>
        <w:t xml:space="preserve"> </w:t>
      </w:r>
      <w:r>
        <w:rPr>
          <w:sz w:val="22"/>
        </w:rPr>
        <w:t>excluding the words “gender-diverse and”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these words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</w:rPr>
        <w:t>§ 13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</w:t>
      </w:r>
      <w:r>
        <w:t xml:space="preserve"> </w:t>
      </w:r>
      <w:r>
        <w:rPr>
          <w:sz w:val="22"/>
        </w:rPr>
        <w:t>excluding the word ”mandatory”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this word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</w:rPr>
        <w:t>§ 16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</w:t>
      </w:r>
      <w:r>
        <w:t xml:space="preserve"> </w:t>
      </w:r>
      <w:r>
        <w:rPr>
          <w:sz w:val="22"/>
        </w:rPr>
        <w:t>excluding the words “systemic”, “transgender and gender-diverse people,” and “and transgender and intersex individuals”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“systemic”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3rd part:</w:t>
      </w:r>
      <w:r>
        <w:tab/>
      </w:r>
      <w:r>
        <w:tab/>
      </w:r>
      <w:r>
        <w:rPr>
          <w:sz w:val="22"/>
        </w:rPr>
        <w:t>“transgender and gender-diverse people,”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4th part:</w:t>
      </w:r>
      <w:r>
        <w:tab/>
      </w:r>
      <w:r>
        <w:tab/>
      </w:r>
      <w:r>
        <w:rPr>
          <w:sz w:val="22"/>
        </w:rPr>
        <w:t>“and transgender and intersex individuals”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</w:rPr>
        <w:t>§ 18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</w:t>
      </w:r>
      <w:r>
        <w:t xml:space="preserve"> </w:t>
      </w:r>
      <w:r>
        <w:rPr>
          <w:sz w:val="22"/>
        </w:rPr>
        <w:t>excluding the words “compulsory,” and “on SRHR,”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“compulsory”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3rd part:</w:t>
      </w:r>
      <w:r>
        <w:tab/>
      </w:r>
      <w:r>
        <w:tab/>
      </w:r>
      <w:r>
        <w:rPr>
          <w:sz w:val="22"/>
        </w:rPr>
        <w:t>“on SRHR”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</w:rPr>
        <w:t>§ 21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</w:t>
      </w:r>
      <w:r>
        <w:t xml:space="preserve"> </w:t>
      </w:r>
      <w:r>
        <w:rPr>
          <w:sz w:val="22"/>
        </w:rPr>
        <w:t>excluding the words “the denial of abortion care … gender-based violence; “</w:t>
      </w:r>
      <w:r>
        <w:t xml:space="preserve"> 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these words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</w:rPr>
        <w:t>§ 24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</w:t>
      </w:r>
      <w:r>
        <w:t xml:space="preserve"> </w:t>
      </w:r>
      <w:r>
        <w:rPr>
          <w:sz w:val="22"/>
        </w:rPr>
        <w:t>excluding the word “mandatory”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this word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</w:rPr>
        <w:t>§ 27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“Warns that women’s health … in Member States;”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“calls on the Council … of critical medicines;”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3rd part:</w:t>
      </w:r>
      <w:r>
        <w:tab/>
      </w:r>
      <w:r>
        <w:tab/>
      </w:r>
      <w:r>
        <w:rPr>
          <w:sz w:val="22"/>
        </w:rPr>
        <w:t>“calls for the forthcoming … all their diversity;”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</w:rPr>
        <w:t>§ 39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“Highlights that lesbian … gender-sensitive treatment;”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“stresses that access … insurance and loans;”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</w:rPr>
        <w:t>§ 42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“Welcomes the Gender … by the Commission,”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“and its commitment … persons with disabilities;”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t xml:space="preserve"> 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</w:rPr>
        <w:t>§ 43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“Stresses the need … access to SRHR,”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“and to enshrine … the European Union;”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</w:rPr>
        <w:t>§ 45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</w:t>
      </w:r>
      <w:r>
        <w:t xml:space="preserve"> </w:t>
      </w:r>
      <w:r>
        <w:rPr>
          <w:sz w:val="22"/>
        </w:rPr>
        <w:t>excluding the words “and trans-specific healthcare, … and reproductive services,” and “gender identity and/or gender expression,”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“and trans-specific healthcare, … and reproductive services,”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3rd part:</w:t>
      </w:r>
      <w:r>
        <w:tab/>
      </w:r>
      <w:r>
        <w:tab/>
      </w:r>
      <w:r>
        <w:rPr>
          <w:sz w:val="22"/>
        </w:rPr>
        <w:t>“gender identity and/or gender expression,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</w:rPr>
        <w:t>§ 46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“Stresses the role … informed, autonomous choices;”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“calls on the Commission … with international standards;”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</w:rPr>
        <w:t>§ 48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</w:t>
      </w:r>
      <w:r>
        <w:t xml:space="preserve"> </w:t>
      </w:r>
      <w:r>
        <w:rPr>
          <w:sz w:val="22"/>
        </w:rPr>
        <w:t>excluding the words “Calls on the Commission … reusable – menstrual products;” and “free or”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“Calls on the Commission … reusable – menstrual products;”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3rd part:</w:t>
      </w:r>
      <w:r>
        <w:tab/>
      </w:r>
      <w:r>
        <w:tab/>
      </w:r>
      <w:r>
        <w:rPr>
          <w:sz w:val="22"/>
        </w:rPr>
        <w:t>“free or”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</w:rPr>
        <w:t>§ 58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</w:t>
      </w:r>
      <w:r>
        <w:t xml:space="preserve"> </w:t>
      </w:r>
      <w:r>
        <w:rPr>
          <w:sz w:val="22"/>
        </w:rPr>
        <w:t>excluding the words “and advancing SRHR;” and “and budgetary measures”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“and advancing SRHR;”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3rd part:</w:t>
      </w:r>
      <w:r>
        <w:tab/>
      </w:r>
      <w:r>
        <w:tab/>
      </w:r>
      <w:r>
        <w:rPr>
          <w:sz w:val="22"/>
        </w:rPr>
        <w:t>“and budgetary measures”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</w:rPr>
        <w:t>§</w:t>
      </w:r>
      <w:r>
        <w:t xml:space="preserve"> </w:t>
      </w:r>
      <w:r>
        <w:rPr>
          <w:b/>
          <w:sz w:val="22"/>
        </w:rPr>
        <w:t>62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Text as a whole</w:t>
      </w:r>
      <w:r>
        <w:t xml:space="preserve"> </w:t>
      </w:r>
      <w:r>
        <w:rPr>
          <w:sz w:val="22"/>
        </w:rPr>
        <w:t>excluding the words “calls on the Commission to prioritise … into women’s health;” and “ring-fenced”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“calls on the Commission to prioritise … into women’s health;”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3rd part:</w:t>
      </w:r>
      <w:r>
        <w:tab/>
      </w:r>
      <w:r>
        <w:tab/>
      </w:r>
      <w:r>
        <w:rPr>
          <w:sz w:val="22"/>
        </w:rPr>
        <w:t>“ring-fenced”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</w:rPr>
        <w:t>§ 63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“Emphasises the critical … field of healthcare”  without the words “and SRHR”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“and SRHR”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3rd part:</w:t>
      </w:r>
      <w:r>
        <w:tab/>
      </w:r>
      <w:r>
        <w:tab/>
      </w:r>
      <w:r>
        <w:rPr>
          <w:sz w:val="22"/>
        </w:rPr>
        <w:t>“calls for their role … health non-governmental organisations;”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</w:rPr>
        <w:t>MEPs(B)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</w:rPr>
        <w:t>§ 6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“Calls on policymakers … legislation and initiatives;”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“emphasises the importance ... interest of citizens</w:t>
      </w:r>
      <w:r>
        <w:rPr>
          <w:b/>
          <w:i/>
          <w:sz w:val="22"/>
        </w:rPr>
        <w:t>;”</w:t>
      </w:r>
      <w:r>
        <w:t xml:space="preserve"> </w:t>
      </w:r>
      <w:r>
        <w:rPr>
          <w:b/>
          <w:i/>
          <w:sz w:val="22"/>
        </w:rPr>
        <w:t>[ROLL CALL VOTE]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</w:rPr>
        <w:t>§ 63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“Emphasises the critical … field of healthcare”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“calls for their role … health non-governmental organisations;”</w:t>
      </w:r>
      <w:r>
        <w:t xml:space="preserve"> </w:t>
      </w:r>
      <w:r>
        <w:rPr>
          <w:b/>
          <w:i/>
          <w:sz w:val="22"/>
        </w:rPr>
        <w:t>[ROLL CALL VOTE]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  <w:u w:val="single"/>
        </w:rPr>
        <w:t>Voting scheme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</w:rPr>
        <w:t>§6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“Calls on policymakers … legislations and initiatives” without the words “to take a holistic, right-based and intersectional approach” and “binding”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“to take a holistic, right-based and intersectional approach”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3rd part:</w:t>
      </w:r>
      <w:r>
        <w:tab/>
      </w:r>
      <w:r>
        <w:tab/>
      </w:r>
      <w:r>
        <w:rPr>
          <w:sz w:val="22"/>
        </w:rPr>
        <w:t>“binding”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4th part:</w:t>
      </w:r>
      <w:r>
        <w:tab/>
      </w:r>
      <w:r>
        <w:tab/>
      </w:r>
      <w:r>
        <w:rPr>
          <w:sz w:val="22"/>
        </w:rPr>
        <w:t>“emphasises the importance … interest of citizens;” without the words “and social”</w:t>
      </w:r>
      <w:r>
        <w:t xml:space="preserve"> </w:t>
      </w:r>
      <w:r>
        <w:rPr>
          <w:b/>
          <w:i/>
          <w:sz w:val="22"/>
        </w:rPr>
        <w:t>[ROLL CALL VOTE]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5th part:</w:t>
      </w:r>
      <w:r>
        <w:tab/>
      </w:r>
      <w:r>
        <w:tab/>
      </w:r>
      <w:r>
        <w:rPr>
          <w:sz w:val="22"/>
        </w:rPr>
        <w:t>“and social”</w:t>
      </w:r>
      <w:r>
        <w:t xml:space="preserve"> </w:t>
      </w:r>
      <w:r>
        <w:rPr>
          <w:b/>
          <w:i/>
          <w:sz w:val="22"/>
        </w:rPr>
        <w:t>[ROLL CALL VOTE]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b/>
          <w:sz w:val="22"/>
        </w:rPr>
        <w:t>§ 63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1st part:</w:t>
      </w:r>
      <w:r>
        <w:tab/>
      </w:r>
      <w:r>
        <w:tab/>
      </w:r>
      <w:r>
        <w:rPr>
          <w:sz w:val="22"/>
        </w:rPr>
        <w:t>“Emphasises the critical … field of healthcare”  without the words “and SRHR”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2nd part:</w:t>
      </w:r>
      <w:r>
        <w:tab/>
      </w:r>
      <w:r>
        <w:tab/>
      </w:r>
      <w:r>
        <w:rPr>
          <w:sz w:val="22"/>
        </w:rPr>
        <w:t>“and SRHR”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</w:rPr>
        <w:t>3rd part:</w:t>
      </w:r>
      <w:r>
        <w:tab/>
      </w:r>
      <w:r>
        <w:tab/>
      </w:r>
      <w:r>
        <w:rPr>
          <w:sz w:val="22"/>
        </w:rPr>
        <w:t>“calls for their role … health non-governmental organisations;”</w:t>
      </w:r>
      <w:r>
        <w:t xml:space="preserve"> </w:t>
      </w:r>
      <w:r>
        <w:rPr>
          <w:b/>
          <w:i/>
          <w:sz w:val="22"/>
        </w:rPr>
        <w:t>[ROLL CALL VOTE]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rPr>
          <w:color w:val="111111"/>
        </w:rPr>
      </w:pPr>
    </w:p>
    <w:p>
      <w:pPr>
        <w:rPr>
          <w:color w:val="111111"/>
        </w:rPr>
      </w:pPr>
    </w:p>
    <w:sectPr>
      <w:footerReference w:type="even" r:id="rId4"/>
      <w:footerReference w:type="default" r:id="rId5"/>
      <w:pgSz w:w="11907" w:h="16840" w:code="9"/>
      <w:pgMar w:top="567" w:right="567" w:bottom="567" w:left="567" w:header="720" w:footer="720" w:gutter="0"/>
      <w:cols w:space="720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</w:rPr>
      <w:fldChar w:fldCharType="end"/>
    </w:r>
  </w:p>
  <w:p/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  <w:noProof/>
      </w:rPr>
      <w:t>1</w:t>
    </w:r>
    <w:r>
      <w:rPr>
        <w:rStyle w:val="DefaultParagraphFont"/>
      </w:rPr>
      <w:fldChar w:fldCharType="end"/>
    </w:r>
  </w:p>
  <w:p/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splitPgBreakAndParaMark/>
  </w:compat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2"/>
      <w:szCs w:val="22"/>
      <w:lang w:val="en-GB" w:eastAsia="en-GB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targetScreenSz w:val="1024x768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