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DIBRANI</w:t>
      </w:r>
      <w:r>
        <w:tab/>
        <w:tab/>
      </w:r>
      <w:r>
        <w:rPr>
          <w:color w:val="111111"/>
          <w:sz w:val="24"/>
        </w:rPr>
        <w:t>(A10-0216/2026)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Establishing the Single Market and Customs Programme for the period 2028-2034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the Internal Market and Consumer Protection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by the committee responsible -block vote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 – 3</w:t>
            </w:r>
            <w:r>
              <w:br/>
            </w:r>
            <w:r>
              <w:rPr>
                <w:sz w:val="22"/>
              </w:rPr>
              <w:t>5 –</w:t>
            </w:r>
            <w:r>
              <w:t xml:space="preserve"> </w:t>
            </w:r>
            <w:r>
              <w:rPr>
                <w:sz w:val="22"/>
              </w:rPr>
              <w:t>21</w:t>
            </w:r>
            <w:r>
              <w:br/>
            </w:r>
            <w:r>
              <w:rPr>
                <w:sz w:val="22"/>
              </w:rPr>
              <w:t>23 - 54</w:t>
            </w:r>
            <w:r>
              <w:br/>
            </w:r>
            <w:r>
              <w:rPr>
                <w:sz w:val="22"/>
              </w:rPr>
              <w:t>56 – 63</w:t>
            </w:r>
            <w:r>
              <w:br/>
            </w:r>
            <w:r>
              <w:rPr>
                <w:sz w:val="22"/>
              </w:rPr>
              <w:t xml:space="preserve">67 </w:t>
            </w:r>
            <w:r>
              <w:br/>
            </w:r>
            <w:r>
              <w:rPr>
                <w:sz w:val="22"/>
              </w:rPr>
              <w:t>69 - 83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4, 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84 = 55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article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85 = 64</w:t>
            </w:r>
            <w:r>
              <w:t xml:space="preserve"> </w:t>
            </w:r>
            <w:r>
              <w:rPr>
                <w:sz w:val="22"/>
              </w:rPr>
              <w:t>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9,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86 = 65 and 66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65, 66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9, § 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68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referral back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 xml:space="preserve">Referral back to committee for interinstitutional negotiations </w:t>
            </w:r>
            <w:r>
              <w:br/>
            </w:r>
            <w:r>
              <w:rPr>
                <w:sz w:val="22"/>
              </w:rPr>
              <w:t>(Rule 60(4))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tab/>
      </w:r>
      <w:r>
        <w:rPr>
          <w:sz w:val="22"/>
        </w:rPr>
        <w:t>am</w:t>
      </w:r>
      <w:r>
        <w:t xml:space="preserve"> </w:t>
      </w:r>
      <w:r>
        <w:rPr>
          <w:sz w:val="22"/>
        </w:rPr>
        <w:t>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tab/>
      </w:r>
      <w:r>
        <w:rPr>
          <w:sz w:val="22"/>
        </w:rPr>
        <w:t>am 22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rPr>
          <w:sz w:val="22"/>
        </w:rPr>
        <w:t>ams 84, 85 and 86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PfE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Am 68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“In accordance with … third-country entity</w:t>
      </w:r>
      <w:r>
        <w:t xml:space="preserve"> </w:t>
      </w:r>
      <w:r>
        <w:rPr>
          <w:sz w:val="22"/>
        </w:rPr>
        <w:t>(1st occurrence);”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“By way of derogation … appropriate mitigation measures;”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