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Default="0078032F" w:rsidP="0078032F">
      <w:pPr>
        <w:pStyle w:val="Title"/>
        <w:rPr>
          <w:lang w:val="ru-RU"/>
        </w:rPr>
      </w:pPr>
      <w:r>
        <w:rPr>
          <w:lang w:val="ru-RU"/>
        </w:rPr>
        <w:t>Лабораторная работа 3.4.2</w:t>
      </w:r>
    </w:p>
    <w:p w:rsidR="0078032F" w:rsidRDefault="0078032F" w:rsidP="0078032F">
      <w:pPr>
        <w:pStyle w:val="Title"/>
        <w:rPr>
          <w:lang w:val="ru-RU"/>
        </w:rPr>
      </w:pPr>
      <w:r>
        <w:rPr>
          <w:lang w:val="ru-RU"/>
        </w:rPr>
        <w:t>Закон кюри-вейсса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изучение температурной зависимости магнитной восприимчивости ферромагнетика выше точки Кюри.</w:t>
      </w:r>
    </w:p>
    <w:p w:rsidR="0078032F" w:rsidRDefault="0078032F" w:rsidP="0078032F"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катушка самоиндукции с образцом из гадолиния, термостат, частотомер, цифровой вольтметр, автогенератор, термопара.</w:t>
      </w:r>
    </w:p>
    <w:p w:rsidR="005D6960" w:rsidRDefault="005D6960" w:rsidP="005D6960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5D6960" w:rsidRDefault="005D6960" w:rsidP="005D6960">
      <w:pPr>
        <w:rPr>
          <w:lang w:val="ru-RU"/>
        </w:rPr>
      </w:pPr>
      <w:r>
        <w:rPr>
          <w:lang w:val="ru-RU"/>
        </w:rPr>
        <w:t>Внешнее магнитное поле ориентирует магнитные моменты в ферромагнетике. Дезориентирующей действие теплового движения, и магнитная восприимчивость убывает с повышением температуры. Для ферромагнитных веществ такая зависимость носит название «закон Кюри-Вейсса».</w:t>
      </w:r>
    </w:p>
    <w:p w:rsidR="005D6960" w:rsidRDefault="005D6960" w:rsidP="005D6960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χ</m:t>
          </m:r>
          <m:r>
            <w:rPr>
              <w:rFonts w:ascii="Cambria Math" w:hAnsi="Cambria Math"/>
            </w:rPr>
            <m:t>∽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</m:den>
          </m:f>
        </m:oMath>
      </m:oMathPara>
    </w:p>
    <w:p w:rsidR="005D6960" w:rsidRDefault="005D6960" w:rsidP="005D6960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619760</wp:posOffset>
            </wp:positionV>
            <wp:extent cx="3623310" cy="1485900"/>
            <wp:effectExtent l="19050" t="0" r="0" b="0"/>
            <wp:wrapTopAndBottom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lang w:val="ru-RU"/>
        </w:rPr>
        <w:t xml:space="preserve"> - температура близкая к температуре Кюри, и называется парамагнитной точкой Кюри.</w:t>
      </w:r>
    </w:p>
    <w:p w:rsidR="005D6960" w:rsidRDefault="00472EB7" w:rsidP="005D6960">
      <w:pPr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1pt;margin-top:135.5pt;width:285.3pt;height:12.1pt;z-index:251660288" stroked="f">
            <v:textbox inset="0,0,0,0">
              <w:txbxContent>
                <w:p w:rsidR="005D6960" w:rsidRPr="00487002" w:rsidRDefault="005D6960" w:rsidP="005D6960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0" w:name="_Ref470062929"/>
                  <w:proofErr w:type="gramStart"/>
                  <w:r>
                    <w:t>Рис.</w:t>
                  </w:r>
                  <w:proofErr w:type="gramEnd"/>
                  <w:r>
                    <w:t xml:space="preserve"> </w:t>
                  </w:r>
                  <w:fldSimple w:instr=" SEQ Рис. \* ARABIC ">
                    <w:r>
                      <w:rPr>
                        <w:noProof/>
                      </w:rPr>
                      <w:t>1</w:t>
                    </w:r>
                  </w:fldSimple>
                  <w:bookmarkEnd w:id="0"/>
                </w:p>
              </w:txbxContent>
            </v:textbox>
            <w10:wrap type="topAndBottom"/>
          </v:shape>
        </w:pict>
      </w:r>
      <w:r w:rsidR="005D6960">
        <w:rPr>
          <w:lang w:val="ru-RU"/>
        </w:rPr>
        <w:t xml:space="preserve">Исследование закона для гадолиния будет производить на установке по схеме на </w:t>
      </w:r>
      <w:r w:rsidR="005D6960">
        <w:rPr>
          <w:lang w:val="ru-RU"/>
        </w:rPr>
        <w:fldChar w:fldCharType="begin"/>
      </w:r>
      <w:r w:rsidR="005D6960">
        <w:rPr>
          <w:lang w:val="ru-RU"/>
        </w:rPr>
        <w:instrText xml:space="preserve"> REF _Ref470062929 \h </w:instrText>
      </w:r>
      <w:r w:rsidR="005D6960">
        <w:rPr>
          <w:lang w:val="ru-RU"/>
        </w:rPr>
      </w:r>
      <w:r w:rsidR="005D6960">
        <w:rPr>
          <w:lang w:val="ru-RU"/>
        </w:rPr>
        <w:fldChar w:fldCharType="separate"/>
      </w:r>
      <w:r>
        <w:rPr>
          <w:lang w:val="ru-RU"/>
        </w:rPr>
        <w:t>р</w:t>
      </w:r>
      <w:proofErr w:type="spellStart"/>
      <w:r w:rsidR="005D6960">
        <w:t>ис</w:t>
      </w:r>
      <w:proofErr w:type="spellEnd"/>
      <w:r w:rsidR="005D6960">
        <w:t xml:space="preserve">. </w:t>
      </w:r>
      <w:r w:rsidR="005D6960">
        <w:rPr>
          <w:noProof/>
        </w:rPr>
        <w:t>1</w:t>
      </w:r>
      <w:r w:rsidR="005D6960">
        <w:rPr>
          <w:lang w:val="ru-RU"/>
        </w:rPr>
        <w:fldChar w:fldCharType="end"/>
      </w:r>
      <w:r w:rsidR="005D6960">
        <w:rPr>
          <w:lang w:val="ru-RU"/>
        </w:rPr>
        <w:t>.</w:t>
      </w:r>
      <w:r>
        <w:rPr>
          <w:lang w:val="ru-RU"/>
        </w:rPr>
        <w:t xml:space="preserve"> Маленькие кусочки гадолиния выступают в качестве сердечника для катушки индуктивности, вклюенной в колебательный контур. При изменении магнитной восприимчивости меняется самоиндукция и период автоколебаний генератора.</w:t>
      </w:r>
    </w:p>
    <w:p w:rsidR="00472EB7" w:rsidRPr="00472EB7" w:rsidRDefault="00472EB7" w:rsidP="005D696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∽</m:t>
                </m:r>
                <m:r>
                  <w:rPr>
                    <w:rFonts w:ascii="Cambria Math" w:hAnsi="Cambria Math"/>
                    <w:lang w:val="ru-RU"/>
                  </w:rPr>
                  <m:t>χ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τ=2π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LC</m:t>
                    </m:r>
                  </m:e>
                </m:rad>
              </m:e>
            </m:mr>
          </m:m>
        </m:oMath>
      </m:oMathPara>
    </w:p>
    <w:p w:rsidR="00472EB7" w:rsidRDefault="00472EB7" w:rsidP="005D6960">
      <w:pPr>
        <w:rPr>
          <w:lang w:val="ru-RU"/>
        </w:rPr>
      </w:pPr>
      <w:r>
        <w:rPr>
          <w:lang w:val="ru-RU"/>
        </w:rPr>
        <w:t>Откуда</w:t>
      </w:r>
    </w:p>
    <w:p w:rsidR="005D6960" w:rsidRDefault="00472EB7" w:rsidP="005D696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T-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lang w:val="ru-RU"/>
                </w:rPr>
                <m:t>p</m:t>
              </m:r>
            </m:sub>
          </m:sSub>
          <m:r>
            <w:rPr>
              <w:rFonts w:ascii="Cambria Math" w:hAnsi="Cambria Math"/>
            </w:rPr>
            <m:t>∽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χ</m:t>
              </m:r>
            </m:den>
          </m:f>
          <m:r>
            <w:rPr>
              <w:rFonts w:ascii="Cambria Math" w:hAnsi="Cambria Math"/>
            </w:rPr>
            <m:t>∽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72EB7" w:rsidRDefault="00472EB7">
      <w:pPr>
        <w:rPr>
          <w:i/>
          <w:lang w:val="ru-RU"/>
        </w:rPr>
      </w:pPr>
      <w:r>
        <w:rPr>
          <w:i/>
          <w:lang w:val="ru-RU"/>
        </w:rPr>
        <w:br w:type="page"/>
      </w:r>
    </w:p>
    <w:p w:rsidR="00472EB7" w:rsidRDefault="00472EB7" w:rsidP="00472EB7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B04651" w:rsidRDefault="00472EB7" w:rsidP="00472EB7">
      <w:pPr>
        <w:rPr>
          <w:lang w:val="ru-RU"/>
        </w:rPr>
      </w:pPr>
      <w:r>
        <w:rPr>
          <w:lang w:val="ru-RU"/>
        </w:rPr>
        <w:t xml:space="preserve">Настроим приборы и запишем чувствительность термопары </w:t>
      </w:r>
      <m:oMath>
        <m:r>
          <w:rPr>
            <w:rFonts w:ascii="Cambria Math" w:hAnsi="Cambria Math"/>
            <w:lang w:val="ru-RU"/>
          </w:rPr>
          <m:t>K=24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</m:t>
            </m:r>
          </m:num>
          <m:den>
            <m:r>
              <w:rPr>
                <w:rFonts w:ascii="Cambria Math" w:hAnsi="Cambria Math"/>
                <w:lang w:val="ru-RU"/>
              </w:rPr>
              <m:t>мВ</m:t>
            </m:r>
          </m:den>
        </m:f>
      </m:oMath>
      <w:r>
        <w:rPr>
          <w:lang w:val="ru-RU"/>
        </w:rPr>
        <w:t xml:space="preserve">. Термопара измеряет разницу температур между колбой с образцом и термостатом. </w:t>
      </w:r>
      <w:r w:rsidR="00E51882">
        <w:rPr>
          <w:lang w:val="ru-RU"/>
        </w:rPr>
        <w:t xml:space="preserve">Период колебаний автогенератора с катушкой без гадолиния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=9.187 мкС</m:t>
        </m:r>
      </m:oMath>
      <w:r w:rsidR="00B04651">
        <w:rPr>
          <w:lang w:val="ru-RU"/>
        </w:rPr>
        <w:t>.</w:t>
      </w:r>
    </w:p>
    <w:p w:rsidR="00472EB7" w:rsidRDefault="009629CA" w:rsidP="00472EB7">
      <w:pPr>
        <w:rPr>
          <w:lang w:val="ru-RU"/>
        </w:rPr>
      </w:pPr>
      <w:r>
        <w:rPr>
          <w:lang w:val="ru-RU"/>
        </w:rPr>
        <w:t>Снимем зависимость периода от температуры и построим графики.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1080"/>
        <w:gridCol w:w="8414"/>
      </w:tblGrid>
      <w:tr w:rsidR="00D82B09" w:rsidRPr="00FE50D7" w:rsidTr="00D82B09">
        <w:tc>
          <w:tcPr>
            <w:tcW w:w="1188" w:type="dxa"/>
            <w:tcBorders>
              <w:bottom w:val="dashSmallGap" w:sz="2" w:space="0" w:color="auto"/>
              <w:right w:val="dashSmallGap" w:sz="2" w:space="0" w:color="auto"/>
            </w:tcBorders>
          </w:tcPr>
          <w:p w:rsidR="00D82B09" w:rsidRPr="00FE50D7" w:rsidRDefault="00D82B09" w:rsidP="006538AF">
            <w:pPr>
              <w:rPr>
                <w:noProof/>
              </w:rPr>
            </w:pPr>
            <w:r>
              <w:rPr>
                <w:i/>
                <w:noProof/>
                <w:lang w:val="en-US"/>
              </w:rPr>
              <w:t>T</w:t>
            </w:r>
            <w:r>
              <w:rPr>
                <w:i/>
                <w:noProof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°C</w:t>
            </w:r>
          </w:p>
        </w:tc>
        <w:tc>
          <w:tcPr>
            <w:tcW w:w="1080" w:type="dxa"/>
            <w:tcBorders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D82B09" w:rsidRPr="00D82B09" w:rsidRDefault="00D82B09" w:rsidP="00D82B09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τ</m:t>
              </m:r>
            </m:oMath>
            <w:r>
              <w:rPr>
                <w:i/>
                <w:noProof/>
                <w:lang w:val="en-US"/>
              </w:rPr>
              <w:t>,</w:t>
            </w:r>
            <w:r>
              <w:rPr>
                <w:i/>
                <w:noProof/>
              </w:rPr>
              <w:t xml:space="preserve"> </w:t>
            </w:r>
            <w:r>
              <w:rPr>
                <w:noProof/>
              </w:rPr>
              <w:t>м</w:t>
            </w:r>
            <w:r>
              <w:rPr>
                <w:noProof/>
              </w:rPr>
              <w:t>кС</w:t>
            </w:r>
          </w:p>
        </w:tc>
        <w:tc>
          <w:tcPr>
            <w:tcW w:w="8414" w:type="dxa"/>
            <w:vMerge w:val="restart"/>
            <w:tcBorders>
              <w:left w:val="dashSmallGap" w:sz="2" w:space="0" w:color="auto"/>
            </w:tcBorders>
            <w:vAlign w:val="center"/>
          </w:tcPr>
          <w:p w:rsidR="00D82B09" w:rsidRPr="00FE50D7" w:rsidRDefault="00D82B09" w:rsidP="006538A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4804410" cy="3603078"/>
                  <wp:effectExtent l="19050" t="0" r="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345" cy="360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14.00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10.944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15.56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10.881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17.32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10.772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19.54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10.490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21.43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10.233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9.874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25.54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9.593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26.91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9.517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28.94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9.459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30.99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9.407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32.87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9.377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34.98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9.356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37.01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9.339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960F6B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39.76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D82B09" w:rsidRDefault="00D82B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9.318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D82B09">
        <w:trPr>
          <w:trHeight w:val="1192"/>
        </w:trPr>
        <w:tc>
          <w:tcPr>
            <w:tcW w:w="1188" w:type="dxa"/>
            <w:vMerge w:val="restart"/>
            <w:tcBorders>
              <w:top w:val="dashSmallGap" w:sz="2" w:space="0" w:color="auto"/>
              <w:right w:val="dashSmallGap" w:sz="2" w:space="0" w:color="auto"/>
            </w:tcBorders>
          </w:tcPr>
          <w:p w:rsidR="00D82B09" w:rsidRPr="00FE50D7" w:rsidRDefault="00D82B09" w:rsidP="006538AF">
            <w:pPr>
              <w:jc w:val="right"/>
            </w:pPr>
          </w:p>
        </w:tc>
        <w:tc>
          <w:tcPr>
            <w:tcW w:w="1080" w:type="dxa"/>
            <w:vMerge w:val="restart"/>
            <w:tcBorders>
              <w:top w:val="dashSmallGap" w:sz="2" w:space="0" w:color="auto"/>
              <w:left w:val="dashSmallGap" w:sz="2" w:space="0" w:color="auto"/>
              <w:right w:val="dashSmallGap" w:sz="2" w:space="0" w:color="auto"/>
            </w:tcBorders>
          </w:tcPr>
          <w:p w:rsidR="00D82B09" w:rsidRPr="00FF2185" w:rsidRDefault="00D82B09" w:rsidP="006538AF">
            <w:pPr>
              <w:jc w:val="right"/>
            </w:pPr>
          </w:p>
        </w:tc>
        <w:tc>
          <w:tcPr>
            <w:tcW w:w="8414" w:type="dxa"/>
            <w:vMerge/>
            <w:tcBorders>
              <w:left w:val="dashSmallGap" w:sz="2" w:space="0" w:color="auto"/>
              <w:bottom w:val="dotted" w:sz="4" w:space="0" w:color="auto"/>
            </w:tcBorders>
          </w:tcPr>
          <w:p w:rsidR="00D82B09" w:rsidRPr="00FE50D7" w:rsidRDefault="00D82B09" w:rsidP="006538AF">
            <w:pPr>
              <w:rPr>
                <w:i/>
                <w:noProof/>
              </w:rPr>
            </w:pPr>
          </w:p>
        </w:tc>
      </w:tr>
      <w:tr w:rsidR="00D82B09" w:rsidRPr="00FE50D7" w:rsidTr="00D82B09">
        <w:trPr>
          <w:trHeight w:val="5931"/>
        </w:trPr>
        <w:tc>
          <w:tcPr>
            <w:tcW w:w="1188" w:type="dxa"/>
            <w:vMerge/>
            <w:tcBorders>
              <w:right w:val="dashSmallGap" w:sz="2" w:space="0" w:color="auto"/>
            </w:tcBorders>
          </w:tcPr>
          <w:p w:rsidR="00D82B09" w:rsidRPr="00FE50D7" w:rsidRDefault="00D82B09" w:rsidP="006538AF">
            <w:pPr>
              <w:jc w:val="right"/>
            </w:pPr>
          </w:p>
        </w:tc>
        <w:tc>
          <w:tcPr>
            <w:tcW w:w="1080" w:type="dxa"/>
            <w:vMerge/>
            <w:tcBorders>
              <w:left w:val="dashSmallGap" w:sz="2" w:space="0" w:color="auto"/>
              <w:right w:val="dashSmallGap" w:sz="2" w:space="0" w:color="auto"/>
            </w:tcBorders>
          </w:tcPr>
          <w:p w:rsidR="00D82B09" w:rsidRPr="00FF2185" w:rsidRDefault="00D82B09" w:rsidP="006538AF">
            <w:pPr>
              <w:jc w:val="right"/>
            </w:pPr>
          </w:p>
        </w:tc>
        <w:tc>
          <w:tcPr>
            <w:tcW w:w="8414" w:type="dxa"/>
            <w:tcBorders>
              <w:top w:val="dotted" w:sz="4" w:space="0" w:color="auto"/>
              <w:left w:val="dashSmallGap" w:sz="2" w:space="0" w:color="auto"/>
            </w:tcBorders>
            <w:vAlign w:val="center"/>
          </w:tcPr>
          <w:p w:rsidR="00D82B09" w:rsidRPr="00FE50D7" w:rsidRDefault="00D82B09" w:rsidP="006538A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4814580" cy="3610705"/>
                  <wp:effectExtent l="19050" t="0" r="5070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889" cy="361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B09" w:rsidRPr="00B04651" w:rsidRDefault="00B04651" w:rsidP="00472EB7">
      <w:pPr>
        <w:rPr>
          <w:lang w:val="ru-RU"/>
        </w:rPr>
      </w:pPr>
      <w:r>
        <w:rPr>
          <w:lang w:val="ru-RU"/>
        </w:rPr>
        <w:t>Точка Кюри для гадолиния - 16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°C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</w:t>
      </w:r>
    </w:p>
    <w:sectPr w:rsidR="00D82B09" w:rsidRPr="00B04651" w:rsidSect="0078032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6699"/>
    <w:rsid w:val="001B0F3B"/>
    <w:rsid w:val="001C70FB"/>
    <w:rsid w:val="001D1BB2"/>
    <w:rsid w:val="001D2C27"/>
    <w:rsid w:val="001E2203"/>
    <w:rsid w:val="001F2C5F"/>
    <w:rsid w:val="002107BD"/>
    <w:rsid w:val="00210E14"/>
    <w:rsid w:val="00213A71"/>
    <w:rsid w:val="00214229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2324E"/>
    <w:rsid w:val="00342749"/>
    <w:rsid w:val="003448FE"/>
    <w:rsid w:val="00347053"/>
    <w:rsid w:val="00355BFA"/>
    <w:rsid w:val="003658AD"/>
    <w:rsid w:val="0036791E"/>
    <w:rsid w:val="0037506D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2710F"/>
    <w:rsid w:val="004315F9"/>
    <w:rsid w:val="00440223"/>
    <w:rsid w:val="00444E58"/>
    <w:rsid w:val="004456A3"/>
    <w:rsid w:val="00451764"/>
    <w:rsid w:val="00471086"/>
    <w:rsid w:val="00472EB7"/>
    <w:rsid w:val="004763F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62965"/>
    <w:rsid w:val="005649D2"/>
    <w:rsid w:val="0056730D"/>
    <w:rsid w:val="00575083"/>
    <w:rsid w:val="00595288"/>
    <w:rsid w:val="005C0682"/>
    <w:rsid w:val="005C2B04"/>
    <w:rsid w:val="005D2F83"/>
    <w:rsid w:val="005D6960"/>
    <w:rsid w:val="005F20DF"/>
    <w:rsid w:val="0060188C"/>
    <w:rsid w:val="00602856"/>
    <w:rsid w:val="00605E17"/>
    <w:rsid w:val="00626A2E"/>
    <w:rsid w:val="00644F0D"/>
    <w:rsid w:val="00647024"/>
    <w:rsid w:val="0066156F"/>
    <w:rsid w:val="0068084D"/>
    <w:rsid w:val="00680FCA"/>
    <w:rsid w:val="006907DB"/>
    <w:rsid w:val="00695994"/>
    <w:rsid w:val="006B0E55"/>
    <w:rsid w:val="006C0A1F"/>
    <w:rsid w:val="006D3995"/>
    <w:rsid w:val="006D79F4"/>
    <w:rsid w:val="006E6D7C"/>
    <w:rsid w:val="00722361"/>
    <w:rsid w:val="00722610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7D3E"/>
    <w:rsid w:val="0080617B"/>
    <w:rsid w:val="00817658"/>
    <w:rsid w:val="0082460E"/>
    <w:rsid w:val="00837556"/>
    <w:rsid w:val="0084227C"/>
    <w:rsid w:val="00857C0F"/>
    <w:rsid w:val="0086426D"/>
    <w:rsid w:val="00866326"/>
    <w:rsid w:val="00874422"/>
    <w:rsid w:val="00884FA0"/>
    <w:rsid w:val="00891D57"/>
    <w:rsid w:val="008B0FCD"/>
    <w:rsid w:val="008D0344"/>
    <w:rsid w:val="008D4921"/>
    <w:rsid w:val="008F0E9D"/>
    <w:rsid w:val="008F5C49"/>
    <w:rsid w:val="00915ECF"/>
    <w:rsid w:val="009629CA"/>
    <w:rsid w:val="00972D3A"/>
    <w:rsid w:val="00981F01"/>
    <w:rsid w:val="0098618C"/>
    <w:rsid w:val="009920E0"/>
    <w:rsid w:val="009A0485"/>
    <w:rsid w:val="009B7308"/>
    <w:rsid w:val="009D2C1D"/>
    <w:rsid w:val="009E31E1"/>
    <w:rsid w:val="00A27214"/>
    <w:rsid w:val="00A3680C"/>
    <w:rsid w:val="00A64452"/>
    <w:rsid w:val="00A85721"/>
    <w:rsid w:val="00A87478"/>
    <w:rsid w:val="00A87CF0"/>
    <w:rsid w:val="00AA4E52"/>
    <w:rsid w:val="00AB0A71"/>
    <w:rsid w:val="00AC0C8E"/>
    <w:rsid w:val="00AC3A00"/>
    <w:rsid w:val="00AC4C9F"/>
    <w:rsid w:val="00AC7CA5"/>
    <w:rsid w:val="00AD5588"/>
    <w:rsid w:val="00AD56BA"/>
    <w:rsid w:val="00AD60AB"/>
    <w:rsid w:val="00AE1C3F"/>
    <w:rsid w:val="00AF663D"/>
    <w:rsid w:val="00B007A3"/>
    <w:rsid w:val="00B04651"/>
    <w:rsid w:val="00B44D86"/>
    <w:rsid w:val="00B54085"/>
    <w:rsid w:val="00B5498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2B09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52DC"/>
    <w:rsid w:val="00E4647B"/>
    <w:rsid w:val="00E50006"/>
    <w:rsid w:val="00E51882"/>
    <w:rsid w:val="00E51ED7"/>
    <w:rsid w:val="00E52955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F17C2D"/>
    <w:rsid w:val="00F23809"/>
    <w:rsid w:val="00F26CAD"/>
    <w:rsid w:val="00F322C9"/>
    <w:rsid w:val="00F36F3C"/>
    <w:rsid w:val="00F43A07"/>
    <w:rsid w:val="00F54C3B"/>
    <w:rsid w:val="00F70F98"/>
    <w:rsid w:val="00F84814"/>
    <w:rsid w:val="00F84C49"/>
    <w:rsid w:val="00F93B5B"/>
    <w:rsid w:val="00F94BAA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2EB7"/>
    <w:rPr>
      <w:color w:val="808080"/>
    </w:rPr>
  </w:style>
  <w:style w:type="table" w:styleId="TableGrid">
    <w:name w:val="Table Grid"/>
    <w:basedOn w:val="TableNormal"/>
    <w:uiPriority w:val="59"/>
    <w:rsid w:val="00D82B09"/>
    <w:pPr>
      <w:spacing w:after="0" w:line="240" w:lineRule="auto"/>
    </w:pPr>
    <w:rPr>
      <w:rFonts w:asciiTheme="minorHAnsi" w:eastAsiaTheme="minorHAnsi" w:hAnsiTheme="minorHAnsi" w:cstheme="minorBidi"/>
      <w:lang w:val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79D81-8768-44C8-9C48-C24F1107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2</cp:revision>
  <dcterms:created xsi:type="dcterms:W3CDTF">2016-12-09T21:23:00Z</dcterms:created>
  <dcterms:modified xsi:type="dcterms:W3CDTF">2016-12-21T03:49:00Z</dcterms:modified>
</cp:coreProperties>
</file>