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8"/>
          <w:sz w:val="52"/>
        </w:rPr>
        <w:t>Microsoft 365 Copilot Readiness Assessment</w:t>
      </w:r>
    </w:p>
    <w:p>
      <w:pPr>
        <w:jc w:val="center"/>
      </w:pPr>
      <w:r>
        <w:rPr>
          <w:color w:val="4472C4"/>
          <w:sz w:val="36"/>
        </w:rPr>
        <w:t>Executive Summary Report</w:t>
      </w:r>
    </w:p>
    <w:p/>
    <w:p>
      <w:pPr>
        <w:jc w:val="center"/>
      </w:pPr>
      <w:r>
        <w:rPr>
          <w:sz w:val="24"/>
        </w:rPr>
        <w:t>Generated: May 24, 2026</w:t>
        <w:br/>
      </w:r>
      <w:r>
        <w:rPr>
          <w:sz w:val="24"/>
        </w:rPr>
        <w:t>Total Observations: 106</w:t>
        <w:br/>
      </w:r>
      <w:r>
        <w:rPr>
          <w:sz w:val="24"/>
        </w:rPr>
        <w:t>Action Items: 25</w:t>
        <w:br/>
      </w:r>
      <w:r>
        <w:rPr>
          <w:sz w:val="24"/>
        </w:rPr>
        <w:t>Services Analyzed: 2</w:t>
      </w:r>
    </w:p>
    <w:p>
      <w:r>
        <w:br w:type="page"/>
      </w:r>
    </w:p>
    <w:p>
      <w:pPr>
        <w:pStyle w:val="Heading1"/>
      </w:pPr>
      <w:r>
        <w:t>Executive Overview</w:t>
      </w:r>
    </w:p>
    <w:p>
      <w:r>
        <w:t>This executive summary presents the findings from the Microsoft 365 Copilot Readiness Assessment conducted for the organization. The assessment analyzed 106 observations across 2 service categories. Of these, 81 (76.4%) met readiness criteria, while 25 items require attention before full Copilot deployment readiness is achieved.</w:t>
      </w:r>
    </w:p>
    <w:p>
      <w:pPr>
        <w:pStyle w:val="Heading1"/>
      </w:pPr>
      <w:r>
        <w:t>Key Statistics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Total Observations</w:t>
            </w:r>
          </w:p>
        </w:tc>
        <w:tc>
          <w:tcPr>
            <w:tcW w:type="dxa" w:w="4320"/>
          </w:tcPr>
          <w:p>
            <w:r>
              <w:t>106</w:t>
            </w:r>
          </w:p>
        </w:tc>
      </w:tr>
      <w:tr>
        <w:tc>
          <w:tcPr>
            <w:tcW w:type="dxa" w:w="4320"/>
          </w:tcPr>
          <w:p>
            <w:r>
              <w:t>Services Analyzed</w:t>
            </w:r>
          </w:p>
        </w:tc>
        <w:tc>
          <w:tcPr>
            <w:tcW w:type="dxa" w:w="4320"/>
          </w:tcPr>
          <w:p>
            <w:r>
              <w:t>2</w:t>
            </w:r>
          </w:p>
        </w:tc>
      </w:tr>
      <w:tr>
        <w:tc>
          <w:tcPr>
            <w:tcW w:type="dxa" w:w="4320"/>
          </w:tcPr>
          <w:p>
            <w:r>
              <w:t>Success Items</w:t>
            </w:r>
          </w:p>
        </w:tc>
        <w:tc>
          <w:tcPr>
            <w:tcW w:type="dxa" w:w="4320"/>
          </w:tcPr>
          <w:p>
            <w:r>
              <w:t>81 (76.4%)</w:t>
            </w:r>
          </w:p>
        </w:tc>
      </w:tr>
      <w:tr>
        <w:tc>
          <w:tcPr>
            <w:tcW w:type="dxa" w:w="4320"/>
          </w:tcPr>
          <w:p>
            <w:r>
              <w:t>Action Items (Non-Success)</w:t>
            </w:r>
          </w:p>
        </w:tc>
        <w:tc>
          <w:tcPr>
            <w:tcW w:type="dxa" w:w="4320"/>
          </w:tcPr>
          <w:p>
            <w:r>
              <w:t>25</w:t>
            </w:r>
          </w:p>
        </w:tc>
      </w:tr>
      <w:tr>
        <w:tc>
          <w:tcPr>
            <w:tcW w:type="dxa" w:w="4320"/>
          </w:tcPr>
          <w:p>
            <w:r>
              <w:t>High Priority Items</w:t>
            </w:r>
          </w:p>
        </w:tc>
        <w:tc>
          <w:tcPr>
            <w:tcW w:type="dxa" w:w="4320"/>
          </w:tcPr>
          <w:p>
            <w:r>
              <w:t>3</w:t>
            </w:r>
          </w:p>
        </w:tc>
      </w:tr>
      <w:tr>
        <w:tc>
          <w:tcPr>
            <w:tcW w:type="dxa" w:w="4320"/>
          </w:tcPr>
          <w:p>
            <w:r>
              <w:t>Medium Priority Items</w:t>
            </w:r>
          </w:p>
        </w:tc>
        <w:tc>
          <w:tcPr>
            <w:tcW w:type="dxa" w:w="4320"/>
          </w:tcPr>
          <w:p>
            <w:r>
              <w:t>19</w:t>
            </w:r>
          </w:p>
        </w:tc>
      </w:tr>
    </w:tbl>
    <w:p/>
    <w:p>
      <w:pPr>
        <w:pStyle w:val="Heading1"/>
      </w:pPr>
      <w:r>
        <w:t>Readiness Status Breakdown</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Count</w:t>
            </w:r>
          </w:p>
        </w:tc>
        <w:tc>
          <w:tcPr>
            <w:tcW w:type="dxa" w:w="2880"/>
          </w:tcPr>
          <w:p>
            <w:r>
              <w:t>Percentage</w:t>
            </w:r>
          </w:p>
        </w:tc>
      </w:tr>
      <w:tr>
        <w:tc>
          <w:tcPr>
            <w:tcW w:type="dxa" w:w="2880"/>
          </w:tcPr>
          <w:p>
            <w:r>
              <w:t>Success</w:t>
            </w:r>
          </w:p>
        </w:tc>
        <w:tc>
          <w:tcPr>
            <w:tcW w:type="dxa" w:w="2880"/>
          </w:tcPr>
          <w:p>
            <w:r>
              <w:t>81</w:t>
            </w:r>
          </w:p>
        </w:tc>
        <w:tc>
          <w:tcPr>
            <w:tcW w:type="dxa" w:w="2880"/>
          </w:tcPr>
          <w:p>
            <w:r>
              <w:t>76.4%</w:t>
            </w:r>
          </w:p>
        </w:tc>
      </w:tr>
      <w:tr>
        <w:tc>
          <w:tcPr>
            <w:tcW w:type="dxa" w:w="2880"/>
          </w:tcPr>
          <w:p>
            <w:r>
              <w:t>Insight</w:t>
            </w:r>
          </w:p>
        </w:tc>
        <w:tc>
          <w:tcPr>
            <w:tcW w:type="dxa" w:w="2880"/>
          </w:tcPr>
          <w:p>
            <w:r>
              <w:t>10</w:t>
            </w:r>
          </w:p>
        </w:tc>
        <w:tc>
          <w:tcPr>
            <w:tcW w:type="dxa" w:w="2880"/>
          </w:tcPr>
          <w:p>
            <w:r>
              <w:t>9.4%</w:t>
            </w:r>
          </w:p>
        </w:tc>
      </w:tr>
      <w:tr>
        <w:tc>
          <w:tcPr>
            <w:tcW w:type="dxa" w:w="2880"/>
          </w:tcPr>
          <w:p>
            <w:r>
              <w:t>Action Required</w:t>
            </w:r>
          </w:p>
        </w:tc>
        <w:tc>
          <w:tcPr>
            <w:tcW w:type="dxa" w:w="2880"/>
          </w:tcPr>
          <w:p>
            <w:r>
              <w:t>8</w:t>
            </w:r>
          </w:p>
        </w:tc>
        <w:tc>
          <w:tcPr>
            <w:tcW w:type="dxa" w:w="2880"/>
          </w:tcPr>
          <w:p>
            <w:r>
              <w:t>7.5%</w:t>
            </w:r>
          </w:p>
        </w:tc>
      </w:tr>
      <w:tr>
        <w:tc>
          <w:tcPr>
            <w:tcW w:type="dxa" w:w="2880"/>
          </w:tcPr>
          <w:p>
            <w:r>
              <w:t>PendingActivation</w:t>
            </w:r>
          </w:p>
        </w:tc>
        <w:tc>
          <w:tcPr>
            <w:tcW w:type="dxa" w:w="2880"/>
          </w:tcPr>
          <w:p>
            <w:r>
              <w:t>4</w:t>
            </w:r>
          </w:p>
        </w:tc>
        <w:tc>
          <w:tcPr>
            <w:tcW w:type="dxa" w:w="2880"/>
          </w:tcPr>
          <w:p>
            <w:r>
              <w:t>3.8%</w:t>
            </w:r>
          </w:p>
        </w:tc>
      </w:tr>
      <w:tr>
        <w:tc>
          <w:tcPr>
            <w:tcW w:type="dxa" w:w="2880"/>
          </w:tcPr>
          <w:p>
            <w:r>
              <w:t>Access Denied</w:t>
            </w:r>
          </w:p>
        </w:tc>
        <w:tc>
          <w:tcPr>
            <w:tcW w:type="dxa" w:w="2880"/>
          </w:tcPr>
          <w:p>
            <w:r>
              <w:t>2</w:t>
            </w:r>
          </w:p>
        </w:tc>
        <w:tc>
          <w:tcPr>
            <w:tcW w:type="dxa" w:w="2880"/>
          </w:tcPr>
          <w:p>
            <w:r>
              <w:t>1.9%</w:t>
            </w:r>
          </w:p>
        </w:tc>
      </w:tr>
      <w:tr>
        <w:tc>
          <w:tcPr>
            <w:tcW w:type="dxa" w:w="2880"/>
          </w:tcPr>
          <w:p>
            <w:r>
              <w:t>Warning</w:t>
            </w:r>
          </w:p>
        </w:tc>
        <w:tc>
          <w:tcPr>
            <w:tcW w:type="dxa" w:w="2880"/>
          </w:tcPr>
          <w:p>
            <w:r>
              <w:t>1</w:t>
            </w:r>
          </w:p>
        </w:tc>
        <w:tc>
          <w:tcPr>
            <w:tcW w:type="dxa" w:w="2880"/>
          </w:tcPr>
          <w:p>
            <w:r>
              <w:t>0.9%</w:t>
            </w:r>
          </w:p>
        </w:tc>
      </w:tr>
    </w:tbl>
    <w:p/>
    <w:p>
      <w:pPr>
        <w:pStyle w:val="Heading1"/>
      </w:pPr>
      <w:r>
        <w:t>Priority Analysis</w:t>
      </w:r>
    </w:p>
    <w:p>
      <w:r>
        <w:t>Among the 25 non-success items, the priority distribution indicates the urgency and resource allocation needed for remediation:</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Count</w:t>
            </w:r>
          </w:p>
        </w:tc>
        <w:tc>
          <w:tcPr>
            <w:tcW w:type="dxa" w:w="2880"/>
          </w:tcPr>
          <w:p>
            <w:r>
              <w:t>Target Timeline</w:t>
            </w:r>
          </w:p>
        </w:tc>
      </w:tr>
      <w:tr>
        <w:tc>
          <w:tcPr>
            <w:tcW w:type="dxa" w:w="2880"/>
          </w:tcPr>
          <w:p>
            <w:r>
              <w:t>High</w:t>
            </w:r>
          </w:p>
        </w:tc>
        <w:tc>
          <w:tcPr>
            <w:tcW w:type="dxa" w:w="2880"/>
          </w:tcPr>
          <w:p>
            <w:r>
              <w:t>3</w:t>
            </w:r>
          </w:p>
        </w:tc>
        <w:tc>
          <w:tcPr>
            <w:tcW w:type="dxa" w:w="2880"/>
          </w:tcPr>
          <w:p>
            <w:r>
              <w:t>30 days</w:t>
            </w:r>
          </w:p>
        </w:tc>
      </w:tr>
      <w:tr>
        <w:tc>
          <w:tcPr>
            <w:tcW w:type="dxa" w:w="2880"/>
          </w:tcPr>
          <w:p>
            <w:r>
              <w:t>Medium</w:t>
            </w:r>
          </w:p>
        </w:tc>
        <w:tc>
          <w:tcPr>
            <w:tcW w:type="dxa" w:w="2880"/>
          </w:tcPr>
          <w:p>
            <w:r>
              <w:t>19</w:t>
            </w:r>
          </w:p>
        </w:tc>
        <w:tc>
          <w:tcPr>
            <w:tcW w:type="dxa" w:w="2880"/>
          </w:tcPr>
          <w:p>
            <w:r>
              <w:t>90 days</w:t>
            </w:r>
          </w:p>
        </w:tc>
      </w:tr>
      <w:tr>
        <w:tc>
          <w:tcPr>
            <w:tcW w:type="dxa" w:w="2880"/>
          </w:tcPr>
          <w:p>
            <w:r>
              <w:t>Low</w:t>
            </w:r>
          </w:p>
        </w:tc>
        <w:tc>
          <w:tcPr>
            <w:tcW w:type="dxa" w:w="2880"/>
          </w:tcPr>
          <w:p>
            <w:r>
              <w:t>3</w:t>
            </w:r>
          </w:p>
        </w:tc>
        <w:tc>
          <w:tcPr>
            <w:tcW w:type="dxa" w:w="2880"/>
          </w:tcPr>
          <w:p>
            <w:r>
              <w:t>120 days</w:t>
            </w:r>
          </w:p>
        </w:tc>
      </w:tr>
    </w:tbl>
    <w:p/>
    <w:p>
      <w:pPr>
        <w:pStyle w:val="Heading1"/>
      </w:pPr>
      <w:r>
        <w:t>Critical &amp; High Priority Security Gaps</w:t>
      </w:r>
    </w:p>
    <w:p>
      <w:pPr>
        <w:pStyle w:val="Heading2"/>
      </w:pPr>
      <w:r>
        <w:t>1. Microsoft Kaizala</w:t>
      </w:r>
    </w:p>
    <w:p>
      <w:r>
        <w:t>Service: M365 | Priority: High | Status: Insight</w:t>
      </w:r>
    </w:p>
    <w:p>
      <w:r>
        <w:t>Finding: Limited Teams presence: only 0 Teams users. Kaizala migration requires concurrent Teams adoption strategy for frontline workers.</w:t>
      </w:r>
    </w:p>
    <w:p>
      <w:r>
        <w:t>Recommendation: Plan comprehensive migration combining Kaizala sunset with Teams frontline deployment. Focus on mobile-first training, shift handoff workflows, and walkie-talkie features to ease transition for deskless workers.</w:t>
      </w:r>
    </w:p>
    <w:p>
      <w:pPr>
        <w:pStyle w:val="Heading2"/>
      </w:pPr>
      <w:r>
        <w:t>2. SharePoint Content Deployment</w:t>
      </w:r>
    </w:p>
    <w:p>
      <w:r>
        <w:t>Service: M365 | Priority: High | Status: Warning</w:t>
      </w:r>
    </w:p>
    <w:p>
      <w:r>
        <w:t>Finding: ZERO SharePoint sites deployed - Copilot has no organizational content to access</w:t>
      </w:r>
    </w:p>
    <w:p>
      <w:r>
        <w:t>Recommendation: URGENT: Deploy SharePoint sites and migrate content immediately. Without SharePoint content, Copilot cannot provide value based on organizational knowledge. Start by creating sites for key departments, projects, and knowledge areas. Migrate critical documents from file shares, network drives, and email attachments to SharePoint. Upload policies, procedures, templates, and institutional knowledge. Copilot's effectiveness depends entirely on accessible content - zero sites means zero organizational intelligence.</w:t>
      </w:r>
    </w:p>
    <w:p>
      <w:pPr>
        <w:pStyle w:val="Heading2"/>
      </w:pPr>
      <w:r>
        <w:t>3. Microsoft Entra ID P1</w:t>
      </w:r>
    </w:p>
    <w:p>
      <w:r>
        <w:t>Service: Entra | Priority: High | Status: Action Required</w:t>
      </w:r>
    </w:p>
    <w:p>
      <w:r>
        <w:t>Finding: Only 4 of 37 users (10.8%) enrolled in MFA, exposing Copilot to credential theft</w:t>
      </w:r>
    </w:p>
    <w:p>
      <w:r>
        <w:t>Recommendation: Enforce MFA registration for all users accessing Copilot. Use Conditional Access to require MFA for Microsoft 365 apps. Compromised accounts without MFA can access Copilot to exfiltrate organizational data through AI prompts. Aim for 100% MFA coverage.</w:t>
      </w:r>
    </w:p>
    <w:p>
      <w:pPr>
        <w:pStyle w:val="Heading1"/>
      </w:pPr>
      <w:r>
        <w:t>Service Category Analysis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Total Observations</w:t>
            </w:r>
          </w:p>
        </w:tc>
        <w:tc>
          <w:tcPr>
            <w:tcW w:type="dxa" w:w="2880"/>
          </w:tcPr>
          <w:p>
            <w:r>
              <w:t>Action Items</w:t>
            </w:r>
          </w:p>
        </w:tc>
      </w:tr>
      <w:tr>
        <w:tc>
          <w:tcPr>
            <w:tcW w:type="dxa" w:w="2880"/>
          </w:tcPr>
          <w:p>
            <w:r>
              <w:t>M365</w:t>
            </w:r>
          </w:p>
        </w:tc>
        <w:tc>
          <w:tcPr>
            <w:tcW w:type="dxa" w:w="2880"/>
          </w:tcPr>
          <w:p>
            <w:r>
              <w:t>84</w:t>
            </w:r>
          </w:p>
        </w:tc>
        <w:tc>
          <w:tcPr>
            <w:tcW w:type="dxa" w:w="2880"/>
          </w:tcPr>
          <w:p>
            <w:r>
              <w:t>13</w:t>
            </w:r>
          </w:p>
        </w:tc>
      </w:tr>
      <w:tr>
        <w:tc>
          <w:tcPr>
            <w:tcW w:type="dxa" w:w="2880"/>
          </w:tcPr>
          <w:p>
            <w:r>
              <w:t>Entra</w:t>
            </w:r>
          </w:p>
        </w:tc>
        <w:tc>
          <w:tcPr>
            <w:tcW w:type="dxa" w:w="2880"/>
          </w:tcPr>
          <w:p>
            <w:r>
              <w:t>22</w:t>
            </w:r>
          </w:p>
        </w:tc>
        <w:tc>
          <w:tcPr>
            <w:tcW w:type="dxa" w:w="2880"/>
          </w:tcPr>
          <w:p>
            <w:r>
              <w:t>12</w:t>
            </w:r>
          </w:p>
        </w:tc>
      </w:tr>
    </w:tbl>
    <w:p/>
    <w:p>
      <w:pPr>
        <w:pStyle w:val="Heading1"/>
      </w:pPr>
      <w:r>
        <w:t>Strategic Recommendations</w:t>
      </w:r>
    </w:p>
    <w:p>
      <w:pPr>
        <w:pStyle w:val="ListNumber"/>
      </w:pPr>
      <w:r>
        <w:t>1. Prioritize High-priority items requiring immediate attention — focus on items blocking Copilot activation.</w:t>
      </w:r>
    </w:p>
    <w:p>
      <w:pPr>
        <w:pStyle w:val="ListNumber"/>
      </w:pPr>
      <w:r>
        <w:t>2. Address identity and access gaps first — Conditional Access and MFA enrollment are foundational for secure Copilot use.</w:t>
      </w:r>
    </w:p>
    <w:p>
      <w:pPr>
        <w:pStyle w:val="ListNumber"/>
      </w:pPr>
      <w:r>
        <w:t>3. Establish a SharePoint content strategy to ensure Copilot has adequate indexed content for meaningful responses.</w:t>
      </w:r>
    </w:p>
    <w:p>
      <w:pPr>
        <w:pStyle w:val="ListNumber"/>
      </w:pPr>
      <w:r>
        <w:t>4. Onboard endpoints to Defender for Endpoint to achieve security visibility required for responsible AI deployment.</w:t>
      </w:r>
    </w:p>
    <w:p>
      <w:pPr>
        <w:pStyle w:val="ListNumber"/>
      </w:pPr>
      <w:r>
        <w:t>5. Configure sensitivity labels and DLP policies to prevent data leakage through Copilot-generated content.</w:t>
      </w:r>
    </w:p>
    <w:p>
      <w:pPr>
        <w:pStyle w:val="ListNumber"/>
      </w:pPr>
      <w:r>
        <w:t>6. Implement access reviews for privileged roles to limit Copilot's exposure to sensitive administrative data.</w:t>
      </w:r>
    </w:p>
    <w:p>
      <w:pPr>
        <w:pStyle w:val="ListNumber"/>
      </w:pPr>
      <w:r>
        <w:t>7. Deploy Teams Premium features to enhance meeting intelligence capabilities with Copilot integration.</w:t>
      </w:r>
    </w:p>
    <w:p>
      <w:pPr>
        <w:pStyle w:val="ListNumber"/>
      </w:pPr>
      <w:r>
        <w:t>8. Create a phased rollout plan: Phase 1 (security foundations, 30 days), Phase 2 (content readiness, 60 days), Phase 3 (Copilot activation, 90 days).</w:t>
      </w:r>
    </w:p>
    <w:p>
      <w:pPr>
        <w:pStyle w:val="ListNumber"/>
      </w:pPr>
      <w:r>
        <w:t>9. Establish monitoring and reporting cadence — reassess monthly to track progress against this baseline.</w:t>
      </w:r>
    </w:p>
    <w:p>
      <w:pPr>
        <w:pStyle w:val="ListNumber"/>
      </w:pPr>
      <w:r>
        <w:t>10. Engage stakeholders early with communication templates to set expectations and drive adoption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