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FF6600"/>
          <w:sz w:val="56"/>
        </w:rPr>
        <w:t>🟠 High Priority Items</w:t>
      </w:r>
    </w:p>
    <w:p>
      <w:pPr>
        <w:jc w:val="center"/>
      </w:pPr>
      <w:r>
        <w:rPr>
          <w:sz w:val="32"/>
        </w:rPr>
        <w:t>Microsoft 365 Copilot Readiness</w:t>
      </w:r>
    </w:p>
    <w:p>
      <w:pPr>
        <w:jc w:val="center"/>
      </w:pPr>
      <w:r>
        <w:rPr>
          <w:sz w:val="32"/>
        </w:rPr>
        <w:t>Detailed Action Plan</w:t>
      </w:r>
    </w:p>
    <w:p/>
    <w:p>
      <w:pPr>
        <w:jc w:val="center"/>
      </w:pPr>
      <w:r>
        <w:t>Generated: May 24, 2026</w:t>
      </w:r>
    </w:p>
    <w:p>
      <w:pPr>
        <w:jc w:val="center"/>
      </w:pPr>
      <w:r>
        <w:rPr>
          <w:b/>
          <w:sz w:val="28"/>
        </w:rPr>
        <w:t>Total Items: 3</w:t>
      </w:r>
    </w:p>
    <w:p/>
    <w:p>
      <w:pPr>
        <w:jc w:val="center"/>
      </w:pPr>
      <w:r>
        <w:rPr>
          <w:i/>
        </w:rPr>
        <w:t>⏱️ 7-30 days — Essential security and identity configurations</w:t>
      </w:r>
    </w:p>
    <w:p>
      <w:r>
        <w:br w:type="page"/>
      </w:r>
    </w:p>
    <w:p>
      <w:pPr>
        <w:pStyle w:val="Heading1"/>
      </w:pPr>
      <w:r>
        <w:rPr>
          <w:color w:val="1F4E78"/>
        </w:rPr>
        <w:t>Overview of Items</w:t>
      </w:r>
    </w:p>
    <w:p>
      <w:r>
        <w:t>This document contains 3 High priority items identified during the Microsoft 365 Copilot readiness assessment. Each item includes the observation, recommendation, risk assessment, implementation steps, and success criteria.</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Item #</w:t>
            </w:r>
          </w:p>
        </w:tc>
        <w:tc>
          <w:tcPr>
            <w:tcW w:type="dxa" w:w="2340"/>
          </w:tcPr>
          <w:p>
            <w:pPr>
              <w:jc w:val="center"/>
            </w:pPr>
            <w:r>
              <w:rPr>
                <w:b/>
              </w:rPr>
              <w:t>Service</w:t>
            </w:r>
          </w:p>
        </w:tc>
        <w:tc>
          <w:tcPr>
            <w:tcW w:type="dxa" w:w="2340"/>
          </w:tcPr>
          <w:p>
            <w:pPr>
              <w:jc w:val="center"/>
            </w:pPr>
            <w:r>
              <w:rPr>
                <w:b/>
              </w:rPr>
              <w:t>Feature</w:t>
            </w:r>
          </w:p>
        </w:tc>
        <w:tc>
          <w:tcPr>
            <w:tcW w:type="dxa" w:w="2340"/>
          </w:tcPr>
          <w:p>
            <w:pPr>
              <w:jc w:val="center"/>
            </w:pPr>
            <w:r>
              <w:rPr>
                <w:b/>
              </w:rPr>
              <w:t>Status</w:t>
            </w:r>
          </w:p>
        </w:tc>
      </w:tr>
      <w:tr>
        <w:tc>
          <w:tcPr>
            <w:tcW w:type="dxa" w:w="2340"/>
          </w:tcPr>
          <w:p>
            <w:pPr>
              <w:jc w:val="center"/>
            </w:pPr>
            <w:r>
              <w:t>1</w:t>
            </w:r>
          </w:p>
        </w:tc>
        <w:tc>
          <w:tcPr>
            <w:tcW w:type="dxa" w:w="2340"/>
          </w:tcPr>
          <w:p>
            <w:r>
              <w:t>M365</w:t>
            </w:r>
          </w:p>
        </w:tc>
        <w:tc>
          <w:tcPr>
            <w:tcW w:type="dxa" w:w="2340"/>
          </w:tcPr>
          <w:p>
            <w:r>
              <w:t>Microsoft Kaizala</w:t>
            </w:r>
          </w:p>
        </w:tc>
        <w:tc>
          <w:tcPr>
            <w:tcW w:type="dxa" w:w="2340"/>
          </w:tcPr>
          <w:p>
            <w:r>
              <w:t>Insight</w:t>
            </w:r>
          </w:p>
        </w:tc>
      </w:tr>
      <w:tr>
        <w:tc>
          <w:tcPr>
            <w:tcW w:type="dxa" w:w="2340"/>
          </w:tcPr>
          <w:p>
            <w:pPr>
              <w:jc w:val="center"/>
            </w:pPr>
            <w:r>
              <w:t>2</w:t>
            </w:r>
          </w:p>
        </w:tc>
        <w:tc>
          <w:tcPr>
            <w:tcW w:type="dxa" w:w="2340"/>
          </w:tcPr>
          <w:p>
            <w:r>
              <w:t>M365</w:t>
            </w:r>
          </w:p>
        </w:tc>
        <w:tc>
          <w:tcPr>
            <w:tcW w:type="dxa" w:w="2340"/>
          </w:tcPr>
          <w:p>
            <w:r>
              <w:t>SharePoint Content Deployment</w:t>
            </w:r>
          </w:p>
        </w:tc>
        <w:tc>
          <w:tcPr>
            <w:tcW w:type="dxa" w:w="2340"/>
          </w:tcPr>
          <w:p>
            <w:r>
              <w:t>Warning</w:t>
            </w:r>
          </w:p>
        </w:tc>
      </w:tr>
      <w:tr>
        <w:tc>
          <w:tcPr>
            <w:tcW w:type="dxa" w:w="2340"/>
          </w:tcPr>
          <w:p>
            <w:pPr>
              <w:jc w:val="center"/>
            </w:pPr>
            <w:r>
              <w:t>3</w:t>
            </w:r>
          </w:p>
        </w:tc>
        <w:tc>
          <w:tcPr>
            <w:tcW w:type="dxa" w:w="2340"/>
          </w:tcPr>
          <w:p>
            <w:r>
              <w:t>Entra</w:t>
            </w:r>
          </w:p>
        </w:tc>
        <w:tc>
          <w:tcPr>
            <w:tcW w:type="dxa" w:w="2340"/>
          </w:tcPr>
          <w:p>
            <w:r>
              <w:t>Microsoft Entra ID P1</w:t>
            </w:r>
          </w:p>
        </w:tc>
        <w:tc>
          <w:tcPr>
            <w:tcW w:type="dxa" w:w="2340"/>
          </w:tcPr>
          <w:p>
            <w:r>
              <w:t>Action Required</w:t>
            </w:r>
          </w:p>
        </w:tc>
      </w:tr>
    </w:tbl>
    <w:p>
      <w:r>
        <w:br w:type="page"/>
      </w:r>
    </w:p>
    <w:p>
      <w:pPr>
        <w:pStyle w:val="Heading1"/>
      </w:pPr>
      <w:r>
        <w:rPr>
          <w:color w:val="1F4E78"/>
        </w:rPr>
        <w:t>Detailed Action Items</w:t>
      </w:r>
    </w:p>
    <w:p>
      <w:pPr>
        <w:pStyle w:val="Heading2"/>
      </w:pPr>
      <w:r>
        <w:rPr>
          <w:color w:val="FF6600"/>
        </w:rPr>
        <w:t>Item 1 — Microsoft Kaizala</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M365</w:t>
            </w:r>
          </w:p>
        </w:tc>
      </w:tr>
      <w:tr>
        <w:tc>
          <w:tcPr>
            <w:tcW w:type="dxa" w:w="4680"/>
          </w:tcPr>
          <w:p>
            <w:r>
              <w:rPr>
                <w:b/>
              </w:rPr>
              <w:t>Priority</w:t>
            </w:r>
          </w:p>
        </w:tc>
        <w:tc>
          <w:tcPr>
            <w:tcW w:type="dxa" w:w="4680"/>
          </w:tcPr>
          <w:p>
            <w:r>
              <w:t>High</w:t>
            </w:r>
          </w:p>
        </w:tc>
      </w:tr>
      <w:tr>
        <w:tc>
          <w:tcPr>
            <w:tcW w:type="dxa" w:w="4680"/>
          </w:tcPr>
          <w:p>
            <w:r>
              <w:rPr>
                <w:b/>
              </w:rPr>
              <w:t>Status</w:t>
            </w:r>
          </w:p>
        </w:tc>
        <w:tc>
          <w:tcPr>
            <w:tcW w:type="dxa" w:w="4680"/>
          </w:tcPr>
          <w:p>
            <w:r>
              <w:t>Insight</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Limited Teams presence: only 0 Teams users. Kaizala migration requires concurrent Teams adoption strategy for frontline workers.</w:t>
      </w:r>
    </w:p>
    <w:p>
      <w:pPr>
        <w:pStyle w:val="Heading3"/>
      </w:pPr>
      <w:r>
        <w:rPr>
          <w:color w:val="5B9BD5"/>
        </w:rPr>
        <w:t>✅ Recommended Action</w:t>
      </w:r>
    </w:p>
    <w:p>
      <w:pPr>
        <w:ind w:left="360"/>
      </w:pPr>
      <w:r>
        <w:t>Plan comprehensive migration combining Kaizala sunset with Teams frontline deployment. Focus on mobile-first training, shift handoff workflows, and walkie-talkie features to ease transition for deskless workers.</w:t>
      </w:r>
    </w:p>
    <w:p>
      <w:pPr>
        <w:pStyle w:val="Heading3"/>
      </w:pPr>
      <w:r>
        <w:rPr>
          <w:color w:val="5B9BD5"/>
        </w:rPr>
        <w:t>⚠️ Risk Assessment</w:t>
      </w:r>
    </w:p>
    <w:p>
      <w:pPr>
        <w:pStyle w:val="ListBullet"/>
      </w:pPr>
      <w:r>
        <w:t>Telemetry Limitation: Index Inferred</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Plan Frontline Migration: </w:t>
      </w:r>
      <w:hyperlink r:id="rId9">
        <w:r>
          <w:rPr>
            <w:color w:val="0563C1"/>
            <w:u w:val="single"/>
          </w:rPr>
          <w:t>https://learn.microsoft.com/microsoft-365/frontline/</w:t>
        </w:r>
      </w:hyperlink>
    </w:p>
    <w:p>
      <w:pPr>
        <w:pStyle w:val="Heading3"/>
      </w:pPr>
      <w:r>
        <w:rPr>
          <w:color w:val="5B9BD5"/>
        </w:rPr>
        <w:t>✓ Success Criteria</w:t>
      </w:r>
    </w:p>
    <w:p>
      <w:pPr>
        <w:ind w:left="360"/>
      </w:pPr>
      <w:r>
        <w:t>☐ Configuration completed as per recommendation</w:t>
      </w:r>
    </w:p>
    <w:p>
      <w:pPr>
        <w:ind w:left="360"/>
      </w:pPr>
      <w:r>
        <w:t>☐ Changes validated in admin portal</w:t>
      </w:r>
    </w:p>
    <w:p>
      <w:pPr>
        <w:ind w:left="360"/>
      </w:pPr>
      <w:r>
        <w:t>☐ No adverse user impact observed</w:t>
      </w:r>
    </w:p>
    <w:p>
      <w:pPr>
        <w:ind w:left="360"/>
      </w:pPr>
      <w:r>
        <w:t>☐ Documentation updated</w:t>
      </w:r>
    </w:p>
    <w:p>
      <w:pPr>
        <w:ind w:left="360"/>
      </w:pPr>
      <w:r>
        <w:t>☐ Next assessment expected to show resolved status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6600"/>
        </w:rPr>
        <w:t>Item 2 — SharePoint Content Deployment</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M365</w:t>
            </w:r>
          </w:p>
        </w:tc>
      </w:tr>
      <w:tr>
        <w:tc>
          <w:tcPr>
            <w:tcW w:type="dxa" w:w="4680"/>
          </w:tcPr>
          <w:p>
            <w:r>
              <w:rPr>
                <w:b/>
              </w:rPr>
              <w:t>Priority</w:t>
            </w:r>
          </w:p>
        </w:tc>
        <w:tc>
          <w:tcPr>
            <w:tcW w:type="dxa" w:w="4680"/>
          </w:tcPr>
          <w:p>
            <w:r>
              <w:t>High</w:t>
            </w:r>
          </w:p>
        </w:tc>
      </w:tr>
      <w:tr>
        <w:tc>
          <w:tcPr>
            <w:tcW w:type="dxa" w:w="4680"/>
          </w:tcPr>
          <w:p>
            <w:r>
              <w:rPr>
                <w:b/>
              </w:rPr>
              <w:t>Status</w:t>
            </w:r>
          </w:p>
        </w:tc>
        <w:tc>
          <w:tcPr>
            <w:tcW w:type="dxa" w:w="4680"/>
          </w:tcPr>
          <w:p>
            <w:r>
              <w:t>Warning</w:t>
            </w:r>
          </w:p>
        </w:tc>
      </w:tr>
      <w:tr>
        <w:tc>
          <w:tcPr>
            <w:tcW w:type="dxa" w:w="4680"/>
          </w:tcPr>
          <w:p>
            <w:r>
              <w:rPr>
                <w:b/>
              </w:rPr>
              <w:t>False Positive Risk</w:t>
            </w:r>
          </w:p>
        </w:tc>
        <w:tc>
          <w:tcPr>
            <w:tcW w:type="dxa" w:w="4680"/>
          </w:tcPr>
          <w:p>
            <w:r>
              <w:t>High</w:t>
            </w:r>
          </w:p>
        </w:tc>
      </w:tr>
      <w:tr>
        <w:tc>
          <w:tcPr>
            <w:tcW w:type="dxa" w:w="4680"/>
          </w:tcPr>
          <w:p>
            <w:r>
              <w:rPr>
                <w:b/>
              </w:rPr>
              <w:t>False Negative Risk</w:t>
            </w:r>
          </w:p>
        </w:tc>
        <w:tc>
          <w:tcPr>
            <w:tcW w:type="dxa" w:w="4680"/>
          </w:tcPr>
          <w:p>
            <w:r>
              <w:t>High</w:t>
            </w:r>
          </w:p>
        </w:tc>
      </w:tr>
      <w:tr>
        <w:tc>
          <w:tcPr>
            <w:tcW w:type="dxa" w:w="4680"/>
          </w:tcPr>
          <w:p>
            <w:r>
              <w:rPr>
                <w:b/>
              </w:rPr>
              <w:t>Confidence Level</w:t>
            </w:r>
          </w:p>
        </w:tc>
        <w:tc>
          <w:tcPr>
            <w:tcW w:type="dxa" w:w="4680"/>
          </w:tcPr>
          <w:p>
            <w:r>
              <w:t>Low</w:t>
            </w:r>
          </w:p>
        </w:tc>
      </w:tr>
    </w:tbl>
    <w:p/>
    <w:p>
      <w:pPr>
        <w:pStyle w:val="Heading3"/>
      </w:pPr>
      <w:r>
        <w:rPr>
          <w:color w:val="5B9BD5"/>
        </w:rPr>
        <w:t>📋 Current Situation</w:t>
      </w:r>
    </w:p>
    <w:p>
      <w:pPr>
        <w:ind w:left="360"/>
      </w:pPr>
      <w:r>
        <w:t>ZERO SharePoint sites deployed - Copilot has no organizational content to access</w:t>
      </w:r>
    </w:p>
    <w:p>
      <w:pPr>
        <w:pStyle w:val="Heading3"/>
      </w:pPr>
      <w:r>
        <w:rPr>
          <w:color w:val="5B9BD5"/>
        </w:rPr>
        <w:t>✅ Recommended Action</w:t>
      </w:r>
    </w:p>
    <w:p>
      <w:pPr>
        <w:ind w:left="360"/>
      </w:pPr>
      <w:r>
        <w:t>URGENT: Deploy SharePoint sites and migrate content immediately. Without SharePoint content, Copilot cannot provide value based on organizational knowledge. Start by creating sites for key departments, projects, and knowledge areas. Migrate critical documents from file shares, network drives, and email attachments to SharePoint. Upload policies, procedures, templates, and institutional knowledge. Copilot's effectiveness depends entirely on accessible content - zero sites means zero organizational intelligence.</w:t>
      </w:r>
    </w:p>
    <w:p>
      <w:pPr>
        <w:pStyle w:val="Heading3"/>
      </w:pPr>
      <w:r>
        <w:rPr>
          <w:color w:val="5B9BD5"/>
        </w:rPr>
        <w:t>⚠️ Risk Assessment</w:t>
      </w:r>
    </w:p>
    <w:p>
      <w:pPr>
        <w:pStyle w:val="ListBullet"/>
      </w:pPr>
      <w:r>
        <w:t>Telemetry Limitation: Telemetry Partial</w:t>
      </w:r>
    </w:p>
    <w:p>
      <w:pPr>
        <w:pStyle w:val="ListBullet"/>
      </w:pPr>
      <w:r>
        <w:t>False Positive Risk: High</w:t>
      </w:r>
    </w:p>
    <w:p>
      <w:pPr>
        <w:pStyle w:val="ListBullet"/>
      </w:pPr>
      <w:r>
        <w:t>False Negative Risk: High</w:t>
      </w:r>
    </w:p>
    <w:p>
      <w:pPr>
        <w:pStyle w:val="ListBullet"/>
      </w:pPr>
      <w:r>
        <w:t>Confidence Level: Low</w:t>
      </w:r>
    </w:p>
    <w:p>
      <w:pPr>
        <w:pStyle w:val="Heading3"/>
      </w:pPr>
      <w:r>
        <w:rPr>
          <w:color w:val="5B9BD5"/>
        </w:rPr>
        <w:t>📚 Reference Documentation</w:t>
      </w:r>
    </w:p>
    <w:p>
      <w:pPr>
        <w:ind w:left="360"/>
      </w:pPr>
      <w:r>
        <w:t xml:space="preserve">Get Started with SharePoint: </w:t>
      </w:r>
      <w:hyperlink r:id="rId10">
        <w:r>
          <w:rPr>
            <w:color w:val="0563C1"/>
            <w:u w:val="single"/>
          </w:rPr>
          <w:t>https://learn.microsoft.com/sharepoint/get-started</w:t>
        </w:r>
      </w:hyperlink>
    </w:p>
    <w:p>
      <w:pPr>
        <w:pStyle w:val="Heading3"/>
      </w:pPr>
      <w:r>
        <w:rPr>
          <w:color w:val="5B9BD5"/>
        </w:rPr>
        <w:t>✓ Success Criteria</w:t>
      </w:r>
    </w:p>
    <w:p>
      <w:pPr>
        <w:ind w:left="360"/>
      </w:pPr>
      <w:r>
        <w:t>☐ Sites created with proper structure and permissions</w:t>
      </w:r>
    </w:p>
    <w:p>
      <w:pPr>
        <w:ind w:left="360"/>
      </w:pPr>
      <w:r>
        <w:t>☐ Content migrated with metadata intact</w:t>
      </w:r>
    </w:p>
    <w:p>
      <w:pPr>
        <w:ind w:left="360"/>
      </w:pPr>
      <w:r>
        <w:t>☐ 100+ documents indexed and searchable</w:t>
      </w:r>
    </w:p>
    <w:p>
      <w:pPr>
        <w:ind w:left="360"/>
      </w:pPr>
      <w:r>
        <w:t>☐ Copilot can reference migrated content</w:t>
      </w:r>
    </w:p>
    <w:p>
      <w:pPr>
        <w:ind w:left="360"/>
      </w:pPr>
      <w:r>
        <w:t>☐ Governance policies applied</w:t>
      </w:r>
    </w:p>
    <w:p>
      <w:pPr>
        <w:ind w:left="360"/>
      </w:pPr>
      <w:r>
        <w:t>☐ User training completed</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p>
      <w:r>
        <w:t>________________________________________________________________________________</w:t>
      </w:r>
    </w:p>
    <w:p/>
    <w:p>
      <w:pPr>
        <w:pStyle w:val="Heading2"/>
      </w:pPr>
      <w:r>
        <w:rPr>
          <w:color w:val="FF6600"/>
        </w:rPr>
        <w:t>Item 3 — Microsoft Entra ID P1</w:t>
      </w:r>
    </w:p>
    <w:tbl>
      <w:tblPr>
        <w:tblStyle w:val="TableGrid"/>
        <w:tblW w:type="auto" w:w="0"/>
        <w:tblLook w:firstColumn="1" w:firstRow="1" w:lastColumn="0" w:lastRow="0" w:noHBand="0" w:noVBand="1" w:val="04A0"/>
      </w:tblPr>
      <w:tblGrid>
        <w:gridCol w:w="4680"/>
        <w:gridCol w:w="4680"/>
      </w:tblGrid>
      <w:tr>
        <w:tc>
          <w:tcPr>
            <w:tcW w:type="dxa" w:w="4680"/>
          </w:tcPr>
          <w:p>
            <w:r>
              <w:rPr>
                <w:b/>
              </w:rPr>
              <w:t>Service Category</w:t>
            </w:r>
          </w:p>
        </w:tc>
        <w:tc>
          <w:tcPr>
            <w:tcW w:type="dxa" w:w="4680"/>
          </w:tcPr>
          <w:p>
            <w:r>
              <w:t>Entra</w:t>
            </w:r>
          </w:p>
        </w:tc>
      </w:tr>
      <w:tr>
        <w:tc>
          <w:tcPr>
            <w:tcW w:type="dxa" w:w="4680"/>
          </w:tcPr>
          <w:p>
            <w:r>
              <w:rPr>
                <w:b/>
              </w:rPr>
              <w:t>Priority</w:t>
            </w:r>
          </w:p>
        </w:tc>
        <w:tc>
          <w:tcPr>
            <w:tcW w:type="dxa" w:w="4680"/>
          </w:tcPr>
          <w:p>
            <w:r>
              <w:t>High</w:t>
            </w:r>
          </w:p>
        </w:tc>
      </w:tr>
      <w:tr>
        <w:tc>
          <w:tcPr>
            <w:tcW w:type="dxa" w:w="4680"/>
          </w:tcPr>
          <w:p>
            <w:r>
              <w:rPr>
                <w:b/>
              </w:rPr>
              <w:t>Status</w:t>
            </w:r>
          </w:p>
        </w:tc>
        <w:tc>
          <w:tcPr>
            <w:tcW w:type="dxa" w:w="4680"/>
          </w:tcPr>
          <w:p>
            <w:r>
              <w:t>Action Required</w:t>
            </w:r>
          </w:p>
        </w:tc>
      </w:tr>
      <w:tr>
        <w:tc>
          <w:tcPr>
            <w:tcW w:type="dxa" w:w="4680"/>
          </w:tcPr>
          <w:p>
            <w:r>
              <w:rPr>
                <w:b/>
              </w:rPr>
              <w:t>False Positive Risk</w:t>
            </w:r>
          </w:p>
        </w:tc>
        <w:tc>
          <w:tcPr>
            <w:tcW w:type="dxa" w:w="4680"/>
          </w:tcPr>
          <w:p>
            <w:r>
              <w:t>Medium</w:t>
            </w:r>
          </w:p>
        </w:tc>
      </w:tr>
      <w:tr>
        <w:tc>
          <w:tcPr>
            <w:tcW w:type="dxa" w:w="4680"/>
          </w:tcPr>
          <w:p>
            <w:r>
              <w:rPr>
                <w:b/>
              </w:rPr>
              <w:t>False Negative Risk</w:t>
            </w:r>
          </w:p>
        </w:tc>
        <w:tc>
          <w:tcPr>
            <w:tcW w:type="dxa" w:w="4680"/>
          </w:tcPr>
          <w:p>
            <w:r>
              <w:t>Medium</w:t>
            </w:r>
          </w:p>
        </w:tc>
      </w:tr>
      <w:tr>
        <w:tc>
          <w:tcPr>
            <w:tcW w:type="dxa" w:w="4680"/>
          </w:tcPr>
          <w:p>
            <w:r>
              <w:rPr>
                <w:b/>
              </w:rPr>
              <w:t>Confidence Level</w:t>
            </w:r>
          </w:p>
        </w:tc>
        <w:tc>
          <w:tcPr>
            <w:tcW w:type="dxa" w:w="4680"/>
          </w:tcPr>
          <w:p>
            <w:r>
              <w:t>Medium</w:t>
            </w:r>
          </w:p>
        </w:tc>
      </w:tr>
    </w:tbl>
    <w:p/>
    <w:p>
      <w:pPr>
        <w:pStyle w:val="Heading3"/>
      </w:pPr>
      <w:r>
        <w:rPr>
          <w:color w:val="5B9BD5"/>
        </w:rPr>
        <w:t>📋 Current Situation</w:t>
      </w:r>
    </w:p>
    <w:p>
      <w:pPr>
        <w:ind w:left="360"/>
      </w:pPr>
      <w:r>
        <w:t>Only 4 of 37 users (10.8%) enrolled in MFA, exposing Copilot to credential theft</w:t>
      </w:r>
    </w:p>
    <w:p>
      <w:pPr>
        <w:pStyle w:val="Heading3"/>
      </w:pPr>
      <w:r>
        <w:rPr>
          <w:color w:val="5B9BD5"/>
        </w:rPr>
        <w:t>✅ Recommended Action</w:t>
      </w:r>
    </w:p>
    <w:p>
      <w:pPr>
        <w:ind w:left="360"/>
      </w:pPr>
      <w:r>
        <w:t>Enforce MFA registration for all users accessing Copilot. Use Conditional Access to require MFA for Microsoft 365 apps. Compromised accounts without MFA can access Copilot to exfiltrate organizational data through AI prompts. Aim for 100% MFA coverage.</w:t>
      </w:r>
    </w:p>
    <w:p>
      <w:pPr>
        <w:pStyle w:val="Heading3"/>
      </w:pPr>
      <w:r>
        <w:rPr>
          <w:color w:val="5B9BD5"/>
        </w:rPr>
        <w:t>⚠️ Risk Assessment</w:t>
      </w:r>
    </w:p>
    <w:p>
      <w:pPr>
        <w:pStyle w:val="ListBullet"/>
      </w:pPr>
      <w:r>
        <w:t>Telemetry Limitation: Configuration Gap</w:t>
      </w:r>
    </w:p>
    <w:p>
      <w:pPr>
        <w:pStyle w:val="ListBullet"/>
      </w:pPr>
      <w:r>
        <w:t>False Positive Risk: Medium</w:t>
      </w:r>
    </w:p>
    <w:p>
      <w:pPr>
        <w:pStyle w:val="ListBullet"/>
      </w:pPr>
      <w:r>
        <w:t>False Negative Risk: Medium</w:t>
      </w:r>
    </w:p>
    <w:p>
      <w:pPr>
        <w:pStyle w:val="ListBullet"/>
      </w:pPr>
      <w:r>
        <w:t>Confidence Level: Medium</w:t>
      </w:r>
    </w:p>
    <w:p>
      <w:pPr>
        <w:pStyle w:val="Heading3"/>
      </w:pPr>
      <w:r>
        <w:rPr>
          <w:color w:val="5B9BD5"/>
        </w:rPr>
        <w:t>📚 Reference Documentation</w:t>
      </w:r>
    </w:p>
    <w:p>
      <w:pPr>
        <w:ind w:left="360"/>
      </w:pPr>
      <w:r>
        <w:t xml:space="preserve">Configure MFA Requirements: </w:t>
      </w:r>
      <w:hyperlink r:id="rId11">
        <w:r>
          <w:rPr>
            <w:color w:val="0563C1"/>
            <w:u w:val="single"/>
          </w:rPr>
          <w:t>https://learn.microsoft.com/entra/identity/authentication/howto-mfa-getstarted</w:t>
        </w:r>
      </w:hyperlink>
    </w:p>
    <w:p>
      <w:pPr>
        <w:pStyle w:val="Heading3"/>
      </w:pPr>
      <w:r>
        <w:rPr>
          <w:color w:val="5B9BD5"/>
        </w:rPr>
        <w:t>✓ Success Criteria</w:t>
      </w:r>
    </w:p>
    <w:p>
      <w:pPr>
        <w:ind w:left="360"/>
      </w:pPr>
      <w:r>
        <w:t>☐ Configuration completed in Entra admin center</w:t>
      </w:r>
    </w:p>
    <w:p>
      <w:pPr>
        <w:ind w:left="360"/>
      </w:pPr>
      <w:r>
        <w:t>☐ Policy targeting verified</w:t>
      </w:r>
    </w:p>
    <w:p>
      <w:pPr>
        <w:ind w:left="360"/>
      </w:pPr>
      <w:r>
        <w:t>☐ Test/pilot validated without issues</w:t>
      </w:r>
    </w:p>
    <w:p>
      <w:pPr>
        <w:ind w:left="360"/>
      </w:pPr>
      <w:r>
        <w:t>☐ Documentation updated</w:t>
      </w:r>
    </w:p>
    <w:p>
      <w:pPr>
        <w:ind w:left="360"/>
      </w:pPr>
      <w:r>
        <w:t>☐ Next assessment expected to pass</w:t>
      </w:r>
    </w:p>
    <w:p>
      <w:pPr>
        <w:pStyle w:val="Heading3"/>
      </w:pPr>
      <w:r>
        <w:rPr>
          <w:color w:val="5B9BD5"/>
        </w:rPr>
        <w:t>📝 Implementation Notes</w:t>
      </w:r>
    </w:p>
    <w:tbl>
      <w:tblPr>
        <w:tblStyle w:val="TableGrid"/>
        <w:tblW w:type="auto" w:w="0"/>
        <w:tblLook w:firstColumn="1" w:firstRow="1" w:lastColumn="0" w:lastRow="0" w:noHBand="0" w:noVBand="1" w:val="04A0"/>
      </w:tblPr>
      <w:tblGrid>
        <w:gridCol w:w="4680"/>
        <w:gridCol w:w="4680"/>
      </w:tblGrid>
      <w:tr>
        <w:tc>
          <w:tcPr>
            <w:tcW w:type="dxa" w:w="4680"/>
          </w:tcPr>
          <w:p>
            <w:r>
              <w:rPr>
                <w:b/>
              </w:rPr>
              <w:t>Assigned To</w:t>
            </w:r>
          </w:p>
        </w:tc>
        <w:tc>
          <w:tcPr>
            <w:tcW w:type="dxa" w:w="4680"/>
          </w:tcPr>
          <w:p>
            <w:r/>
          </w:p>
        </w:tc>
      </w:tr>
      <w:tr>
        <w:tc>
          <w:tcPr>
            <w:tcW w:type="dxa" w:w="4680"/>
          </w:tcPr>
          <w:p>
            <w:r>
              <w:rPr>
                <w:b/>
              </w:rPr>
              <w:t>Target Completion Date</w:t>
            </w:r>
          </w:p>
        </w:tc>
        <w:tc>
          <w:tcPr>
            <w:tcW w:type="dxa" w:w="4680"/>
          </w:tcPr>
          <w:p>
            <w:r/>
          </w:p>
        </w:tc>
      </w:tr>
      <w:tr>
        <w:tc>
          <w:tcPr>
            <w:tcW w:type="dxa" w:w="4680"/>
          </w:tcPr>
          <w:p>
            <w:r>
              <w:rPr>
                <w:b/>
              </w:rPr>
              <w:t>Status</w:t>
            </w:r>
          </w:p>
        </w:tc>
        <w:tc>
          <w:tcPr>
            <w:tcW w:type="dxa" w:w="4680"/>
          </w:tcPr>
          <w:p>
            <w:r>
              <w:t>☐ Not Started  ☐ In Progress  ☐ Completed  ☐ Blocked</w:t>
            </w:r>
          </w:p>
        </w:tc>
      </w:tr>
      <w:tr>
        <w:tc>
          <w:tcPr>
            <w:tcW w:type="dxa" w:w="4680"/>
          </w:tcPr>
          <w:p>
            <w:r>
              <w:rPr>
                <w:b/>
              </w:rPr>
              <w:t>Notes</w:t>
            </w:r>
          </w:p>
        </w:tc>
        <w:tc>
          <w:tcPr>
            <w:tcW w:type="dxa" w:w="4680"/>
          </w:tcPr>
          <w:p>
            <w:r/>
          </w:p>
        </w:tc>
      </w:tr>
    </w:tbl>
    <w:p>
      <w:r>
        <w:br w:type="page"/>
      </w:r>
    </w:p>
    <w:p>
      <w:pPr>
        <w:pStyle w:val="Heading1"/>
      </w:pPr>
      <w:r>
        <w:rPr>
          <w:color w:val="1F4E78"/>
        </w:rPr>
        <w:t>Appendix</w:t>
      </w:r>
    </w:p>
    <w:p>
      <w:pPr>
        <w:pStyle w:val="Heading2"/>
      </w:pPr>
      <w:r>
        <w:rPr>
          <w:color w:val="FF6600"/>
        </w:rPr>
        <w:t>Related Resources</w:t>
      </w:r>
    </w:p>
    <w:p>
      <w:r>
        <w:t xml:space="preserve">Microsoft 365 Copilot Documentation: </w:t>
      </w:r>
      <w:hyperlink r:id="rId12">
        <w:r>
          <w:rPr>
            <w:color w:val="0563C1"/>
            <w:u w:val="single"/>
          </w:rPr>
          <w:t>https://learn.microsoft.com/microsoft-365-copilot/</w:t>
        </w:r>
      </w:hyperlink>
    </w:p>
    <w:p>
      <w:r>
        <w:t xml:space="preserve">Entra Admin Center: </w:t>
      </w:r>
      <w:hyperlink r:id="rId13">
        <w:r>
          <w:rPr>
            <w:color w:val="0563C1"/>
            <w:u w:val="single"/>
          </w:rPr>
          <w:t>https://entra.microsoft.com</w:t>
        </w:r>
      </w:hyperlink>
    </w:p>
    <w:p>
      <w:r>
        <w:t xml:space="preserve">Microsoft 365 Admin Center: </w:t>
      </w:r>
      <w:hyperlink r:id="rId14">
        <w:r>
          <w:rPr>
            <w:color w:val="0563C1"/>
            <w:u w:val="single"/>
          </w:rPr>
          <w:t>https://admin.microsoft.com</w:t>
        </w:r>
      </w:hyperlink>
    </w:p>
    <w:p>
      <w:r>
        <w:t xml:space="preserve">Security Portal: </w:t>
      </w:r>
      <w:hyperlink r:id="rId15">
        <w:r>
          <w:rPr>
            <w:color w:val="0563C1"/>
            <w:u w:val="single"/>
          </w:rPr>
          <w:t>https://security.microsoft.com</w:t>
        </w:r>
      </w:hyperlink>
    </w:p>
    <w:p>
      <w:r>
        <w:t xml:space="preserve">Teams Admin Center: </w:t>
      </w:r>
      <w:hyperlink r:id="rId16">
        <w:r>
          <w:rPr>
            <w:color w:val="0563C1"/>
            <w:u w:val="single"/>
          </w:rPr>
          <w:t>https://admin.teams.microsoft.com</w:t>
        </w:r>
      </w:hyperlink>
    </w:p>
    <w:p>
      <w:r>
        <w:t xml:space="preserve">SharePoint Admin Center: </w:t>
      </w:r>
      <w:hyperlink r:id="rId17">
        <w:r>
          <w:rPr>
            <w:color w:val="0563C1"/>
            <w:u w:val="single"/>
          </w:rPr>
          <w:t>https://admin.microsoft.com/sharepoint</w:t>
        </w:r>
      </w:hyperlink>
    </w:p>
    <w:p/>
    <w:p>
      <w:pPr>
        <w:pStyle w:val="Heading2"/>
      </w:pPr>
      <w:r>
        <w:rPr>
          <w:color w:val="FF6600"/>
        </w:rPr>
        <w:t>Priority Timeline Reference</w:t>
      </w:r>
    </w:p>
    <w:p>
      <w:pPr>
        <w:pStyle w:val="ListBullet"/>
      </w:pPr>
      <w:r>
        <w:t>🔴 Critical: 0-7 days — Immediate security risks blocking Copilot deployment</w:t>
      </w:r>
    </w:p>
    <w:p>
      <w:pPr>
        <w:pStyle w:val="ListBullet"/>
      </w:pPr>
      <w:r>
        <w:t>🟠 High: 7-30 days — Essential security and identity configurations</w:t>
      </w:r>
    </w:p>
    <w:p>
      <w:pPr>
        <w:pStyle w:val="ListBullet"/>
      </w:pPr>
      <w:r>
        <w:t>🟡 Medium: 30-90 days — Optimization and governance improvements</w:t>
      </w:r>
    </w:p>
    <w:p>
      <w:pPr>
        <w:pStyle w:val="ListBullet"/>
      </w:pPr>
      <w:r>
        <w:t>🟢 Low: 90+ days — Long-term enhancements and best practices</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Microsoft 365 Copilot Readiness - Action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microsoft-365/frontline/" TargetMode="External"/><Relationship Id="rId10" Type="http://schemas.openxmlformats.org/officeDocument/2006/relationships/hyperlink" Target="https://learn.microsoft.com/sharepoint/get-started" TargetMode="External"/><Relationship Id="rId11" Type="http://schemas.openxmlformats.org/officeDocument/2006/relationships/hyperlink" Target="https://learn.microsoft.com/entra/identity/authentication/howto-mfa-getstarted" TargetMode="External"/><Relationship Id="rId12" Type="http://schemas.openxmlformats.org/officeDocument/2006/relationships/hyperlink" Target="https://learn.microsoft.com/microsoft-365-copilot/" TargetMode="External"/><Relationship Id="rId13" Type="http://schemas.openxmlformats.org/officeDocument/2006/relationships/hyperlink" Target="https://entra.microsoft.com" TargetMode="External"/><Relationship Id="rId14" Type="http://schemas.openxmlformats.org/officeDocument/2006/relationships/hyperlink" Target="https://admin.microsoft.com" TargetMode="External"/><Relationship Id="rId15" Type="http://schemas.openxmlformats.org/officeDocument/2006/relationships/hyperlink" Target="https://security.microsoft.com" TargetMode="External"/><Relationship Id="rId16" Type="http://schemas.openxmlformats.org/officeDocument/2006/relationships/hyperlink" Target="https://admin.teams.microsoft.com" TargetMode="External"/><Relationship Id="rId17" Type="http://schemas.openxmlformats.org/officeDocument/2006/relationships/hyperlink" Target="https://admin.microsoft.com/sharepoint"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