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370"/>
        <w:gridCol w:w="3061"/>
      </w:tblGrid>
      <w:tr>
        <w:tc>
          <w:tcPr>
            <w:tcW w:type="dxa" w:w="521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i w:val="0"/>
                <w:color w:val="0E1B2E"/>
                <w:sz w:val="50"/>
              </w:rPr>
              <w:t>ADMINISTRATIVO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/>
                <w:color w:val="475569"/>
                <w:sz w:val="22"/>
              </w:rPr>
              <w:t>ERP / HR într-o singură platformă, pentru companii din România</w:t>
            </w:r>
          </w:p>
        </w:tc>
        <w:tc>
          <w:tcPr>
            <w:tcW w:type="dxa" w:w="521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OFERTĂ DE PREZENTARE</w:t>
            </w:r>
          </w:p>
        </w:tc>
      </w:tr>
    </w:tbl>
    <w:p>
      <w:pPr>
        <w:spacing w:before="60" w:after="100"/>
        <w:pBdr>
          <w:bottom w:val="single" w:sz="8" w:space="1" w:color="0E1B2E"/>
        </w:pBdr>
      </w:pPr>
    </w:p>
    <w:p>
      <w:pPr>
        <w:spacing w:after="140"/>
      </w:pPr>
      <w:r>
        <w:rPr>
          <w:rFonts w:ascii="Calibri" w:hAnsi="Calibri"/>
          <w:b w:val="0"/>
          <w:i w:val="0"/>
          <w:color w:val="475569"/>
          <w:sz w:val="18"/>
        </w:rPr>
        <w:t>Un singur loc pentru pontaj, concedii, salarizare, parc auto, SSM și integrarea angajaților noi — cu izolare completă a datelor între firme, portal separat pentru fiecare angajat și cinci roluri predefinite, fiecare vede exact ce are voie. Module activabile individual: plătiți doar ce folosiți, prin abonament, nu licență clasică.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272"/>
        <w:gridCol w:w="5159"/>
      </w:tblGrid>
      <w:tr>
        <w:tc>
          <w:tcPr>
            <w:tcW w:type="dxa" w:w="5216"/>
            <w:tcMar>
              <w:top w:w="0" w:type="dxa"/>
              <w:bottom w:w="0" w:type="dxa"/>
              <w:left w:w="0" w:type="dxa"/>
              <w:right w:w="140" w:type="dxa"/>
            </w:tcMar>
          </w:tcPr>
          <w:p>
            <w:pPr>
              <w:spacing w:before="100" w:after="40"/>
            </w:pPr>
            <w:r/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>OPERAȚIUNI ZILNICE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2563E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Panou de control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o singură pagină cu ce cere atenție azi, în toată firma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2563E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Pontaj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pontare zilnică/săptămânală, corecții, aprobare pe echipă, calendar de firmă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2563E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Concedii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cereri, planificator vizual zile × angajați, sold de zile, aprobare pe loc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EA5A4"/>
                <w:sz w:val="18"/>
              </w:rPr>
              <w:t>OAMENI ȘI DEZVOLTARE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Angajați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fișe complete de personal, șabloane de documente, invitații de cont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Departamente · Puncte de lucru · Organigramă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structura companiei, vizual și pe roluri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REGES-Online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registrul general de evidență a salariaților, transmis direct la ITM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Integrare angajați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checklist-uri de onboarding pentru fiecare angajat nou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Cursuri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bibliotecă de materiale, cursuri interne, urmărirea conformității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Evaluări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evaluări de performanță pe șabloane, per echipă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SSM și PSI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instruiri de securitate în muncă, cu expirări urmărite automat</w:t>
            </w:r>
          </w:p>
        </w:tc>
        <w:tc>
          <w:tcPr>
            <w:tcW w:type="dxa" w:w="5216"/>
            <w:tcMar>
              <w:top w:w="0" w:type="dxa"/>
              <w:bottom w:w="0" w:type="dxa"/>
              <w:left w:w="140" w:type="dxa"/>
              <w:right w:w="0" w:type="dxa"/>
            </w:tcMar>
          </w:tcPr>
          <w:p>
            <w:pPr>
              <w:spacing w:before="100" w:after="40"/>
            </w:pPr>
            <w:r/>
            <w:r>
              <w:rPr>
                <w:rFonts w:ascii="Calibri" w:hAnsi="Calibri"/>
                <w:b/>
                <w:i w:val="0"/>
                <w:color w:val="F59E0B"/>
                <w:sz w:val="18"/>
              </w:rPr>
              <w:t>RESURSE ȘI LOGISTICĂ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Parc auto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vehicule, documente cu expirare, foi de parcurs aprobate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Mentenanță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sesizări și lucrări pe echipamente și vehicule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Inventar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obiecte alocate angajaților, cu confirmare de primire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Anunțuri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comunicare internă, pe toată firma sau pe echipe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Ticketing IT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cereri interne către IT, într-o coadă pe echipă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16A34A"/>
                <w:sz w:val="18"/>
              </w:rPr>
              <w:t>FINANCIAR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Salarizare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calcul salarial, sporuri și prime, popriri, fluturași, aprobare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Diurne și deplasări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decontare diurne, aprobare deplasări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Rapoarte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venituri, concedii, tichete — agregat pe toată organizația</w:t>
            </w:r>
          </w:p>
          <w:p>
            <w:pPr>
              <w:spacing w:before="100" w:after="40"/>
            </w:pP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ADMINISTRARE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1B2E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Setări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organizație, membri și invitații, module active per firmă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1B2E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Roluri și permisiuni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5 roluri predefinite, fiecare vede exact ce are voie</w:t>
            </w:r>
          </w:p>
          <w:p>
            <w:pPr>
              <w:spacing w:after="40"/>
              <w:ind w:left="28"/>
            </w:pPr>
            <w:r>
              <w:rPr>
                <w:rFonts w:ascii="Calibri" w:hAnsi="Calibri"/>
                <w:b/>
                <w:i w:val="0"/>
                <w:color w:val="0E1B2E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Jurnal de audit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istoricul fiecărei acțiuni: cine a schimbat ce, și când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59"/>
        <w:gridCol w:w="5159"/>
      </w:tblGrid>
      <w:tr>
        <w:tc>
          <w:tcPr>
            <w:tcW w:type="dxa" w:w="5216"/>
            <w:shd w:val="clear" w:color="auto"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563EB"/>
                <w:sz w:val="14"/>
              </w:rPr>
              <w:t xml:space="preserve">INCLUS  </w:t>
            </w: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Portal angajat</w:t>
            </w:r>
          </w:p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aplicație separată, de pe telefon: propriul pontaj, concediu, salariu, diurnă, documente</w:t>
            </w:r>
          </w:p>
        </w:tc>
        <w:tc>
          <w:tcPr>
            <w:tcW w:type="dxa" w:w="5216"/>
            <w:shd w:val="clear" w:color="auto"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EA5A4"/>
                <w:sz w:val="14"/>
              </w:rPr>
              <w:t xml:space="preserve">INCLUS  </w:t>
            </w: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Asistent AI</w:t>
            </w:r>
          </w:p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răspunde întrebări despre pontaj, concedii și salarizare, cu context din datele reale ale firmei</w:t>
            </w:r>
          </w:p>
        </w:tc>
      </w:tr>
    </w:tbl>
    <w:p>
      <w:pPr>
        <w:spacing w:before="140" w:after="80"/>
        <w:pBdr>
          <w:top w:val="single" w:sz="6" w:space="1" w:color="CBD5E1"/>
        </w:pBdr>
      </w:pPr>
    </w:p>
    <w:p>
      <w:r>
        <w:rPr>
          <w:rFonts w:ascii="Calibri" w:hAnsi="Calibri"/>
          <w:b/>
          <w:i w:val="0"/>
          <w:color w:val="0E1B2E"/>
          <w:sz w:val="17"/>
        </w:rPr>
        <w:t xml:space="preserve">Abonament lunar, nu licență clasică — </w:t>
      </w:r>
      <w:r>
        <w:rPr>
          <w:rFonts w:ascii="Calibri" w:hAnsi="Calibri"/>
          <w:b w:val="0"/>
          <w:i w:val="0"/>
          <w:color w:val="475569"/>
          <w:sz w:val="17"/>
        </w:rPr>
        <w:t>aplicația crește (module noi, actualizări) fără costuri suplimentare și fără nicio oprire de serviciu. RLS forțat la nivel de bază de date: fiecare firmă își vede strict propriile date.</w:t>
      </w:r>
    </w:p>
    <w:p>
      <w:pPr>
        <w:spacing w:before="100"/>
      </w:pPr>
      <w:r>
        <w:rPr>
          <w:rFonts w:ascii="Calibri" w:hAnsi="Calibri"/>
          <w:b/>
          <w:i w:val="0"/>
          <w:color w:val="0E1B2E"/>
          <w:sz w:val="17"/>
        </w:rPr>
        <w:t xml:space="preserve">Contact:  </w:t>
      </w:r>
      <w:r>
        <w:rPr>
          <w:rFonts w:ascii="Calibri" w:hAnsi="Calibri"/>
          <w:b w:val="0"/>
          <w:i w:val="0"/>
          <w:color w:val="475569"/>
          <w:sz w:val="17"/>
        </w:rPr>
        <w:t>[telefon]   ·   [e-mail]   ·   [website]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