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Замечания по курсовой работе</w:t>
      </w:r>
    </w:p>
    <w:p>
      <w:r>
        <w:t>«Юридическая ответственность: виды и правовые последствия»</w:t>
        <w:br/>
        <w:t>Проверка и редактура: 20 октября 2026 года</w:t>
      </w:r>
    </w:p>
    <w:p>
      <w:pPr>
        <w:pStyle w:val="Heading1"/>
      </w:pPr>
      <w:r>
        <w:t>Что исправлено</w:t>
      </w:r>
    </w:p>
    <w:p>
      <w:pPr>
        <w:pStyle w:val="ListBullet"/>
      </w:pPr>
      <w:r>
        <w:t>Библиография: 30 учебных и журнальных источников (10 учебных пособий и 20 журнальных статей), все изданы не позднее 2021 года. Дополнительно включены 12 нормативных и судебных источников. Убраны монографии, отдельные ссылки на справочные системы как самостоятельные литературные источники и издания 2023–2024 годов.</w:t>
      </w:r>
    </w:p>
    <w:p>
      <w:pPr>
        <w:pStyle w:val="ListBullet"/>
      </w:pPr>
      <w:r>
        <w:t>Оформление списка приведено к образцу: сквозная нумерация, сначала нормативные акты и судебные разъяснения, затем литература; для актов — обозначение электронного ресурса, КонсультантПлюс и адрес документа. Объём изданий и страницы статей не указаны. В литературной части сохранён алфавитный порядок по автору.</w:t>
      </w:r>
    </w:p>
    <w:p>
      <w:pPr>
        <w:pStyle w:val="ListBullet"/>
      </w:pPr>
      <w:r>
        <w:t>Ссылки на литературу заменены на новый список; их количество ограничено. Нормативные ссылки сохранены, добавлены ссылки на конституционные гарантии и УПК РФ. Использован исходный формат внутритекстовых ссылок в квадратных скобках, без номеров страниц.</w:t>
      </w:r>
    </w:p>
    <w:p>
      <w:pPr>
        <w:pStyle w:val="ListBullet"/>
      </w:pPr>
      <w:r>
        <w:t>Уточнены понятие уголовной ответственности, признаки объективной стороны состава преступления, условия рецидива и возникновения судимости. Исправлены категоричные утверждения об универсальности возраста и вменяемости как условий любого вида ответственности.</w:t>
      </w:r>
    </w:p>
    <w:p>
      <w:pPr>
        <w:pStyle w:val="ListBullet"/>
      </w:pPr>
      <w:r>
        <w:t>Исправлены описание срока административной наказанности, порядок возмещения ущерба работником, условия гражданской ответственности без вины и учёт вины потерпевшего. Разграничены исключение ответственности, освобождение от ответственности и освобождение от наказания.</w:t>
      </w:r>
    </w:p>
    <w:p>
      <w:pPr>
        <w:pStyle w:val="ListBullet"/>
      </w:pPr>
      <w:r>
        <w:t>Дополнены основания юридической ответственности и материальная ответственность работодателя, чтобы текст лучше соответствовал задачам введения. Убрана неподтверждённая персональная атрибуция классификации Б.М. Гонгало.</w:t>
      </w:r>
    </w:p>
    <w:p>
      <w:pPr>
        <w:pStyle w:val="ListBullet"/>
      </w:pPr>
      <w:r>
        <w:t>Каждая глава, введение, заключение и библиографический список начинаются с новой страницы. Для подразделов принудительный разрыв страницы отключён. Они могут естественно начинаться на следующей странице, если не помещаются вместе с началом текста.</w:t>
      </w:r>
    </w:p>
    <w:p>
      <w:pPr>
        <w:pStyle w:val="ListBullet"/>
      </w:pPr>
      <w:r>
        <w:t>Заголовки вне содержания: двойной межстрочный интервал, отступы перед/после по 28 пт (перед заголовком на новой странице — 0). Основной текст и список литературы — полуторный интервал, как в образце. Удалены пустые абзацы между главами и четыре пустые страницы перед содержанием. На титульном листе исправлены «Выполнил» и «Студент» на формы женского рода.</w:t>
      </w:r>
    </w:p>
    <w:p>
      <w:pPr>
        <w:pStyle w:val="Heading1"/>
      </w:pPr>
      <w:r>
        <w:t>Что оставлено без изменений</w:t>
      </w:r>
    </w:p>
    <w:p>
      <w:r>
        <w:t>Блок содержания сохранён без редактирования текста, номеров страниц и форматирования. Совпадение XML этого блока с оригиналом проверено после сохранения DOCX. Поэтому его прежние номера страниц не соответствуют новой вёрстке. Кроме того, в исходном содержании отсутствуют строки «Заключение» и «Библиографический список»; они не добавлялись по прямому указанию не трогать содержание. Автоматическое обновление полей при открытии отключено; ручное обновление в Word изменит содержание.</w:t>
      </w:r>
    </w:p>
    <w:p>
      <w:pPr>
        <w:pStyle w:val="Heading1"/>
      </w:pPr>
      <w:r>
        <w:t>Общая оценка и оставшиеся ограничения</w:t>
      </w:r>
    </w:p>
    <w:p>
      <w:r>
        <w:t>Работа соответствует заявленной теме и имеет последовательную структуру. Основной недостаток — преимущественно описательный характер: значительная часть текста пересказывает законодательство. Для усиления аналитической части полезны сопоставление двух научных позиций и разбор конкретного судебного дела с собственным выводом. Новое дело и эмпирические данные в текст не добавлялись.</w:t>
      </w:r>
    </w:p>
    <w:p>
      <w:r>
        <w:t>Методические требования техникума не приложены, поэтому соответствие его собственной методичке не подтверждено. «Двойной интервал между разделами» истолкован как оформление заголовков и расстояния вокруг них; содержание, по прямому указанию, не форматировалось. Даты издания ограничены 2021 годом только для учебной и журнальной литературы; законодательство рассмотрено отдельно.</w:t>
      </w:r>
    </w:p>
    <w:p>
      <w:r>
        <w:t>Библиографические сведения сверены с доступными карточками издателей, электронных библиотек, страницами журналов и библиографическими подборками научных библиотек. Это проверка реквизитов и тематической уместности, а не утверждение о полном прочтении всех 30 публикаций. Заменённые ссылки используются преимущественно для общетеоретических положений, а конкретные правовые правила сопровождаются ссылками на акты.</w:t>
      </w:r>
    </w:p>
    <w:p>
      <w:pPr>
        <w:pStyle w:val="Heading1"/>
      </w:pPr>
      <w:r>
        <w:t>Основные ресурсы проверки</w:t>
      </w:r>
    </w:p>
    <w:p>
      <w:r>
        <w:t>Учебное пособие «Юридическая ответственность», 2017</w:t>
        <w:br/>
        <w:t>https://www.iprbookshop.ru/81602.html</w:t>
      </w:r>
    </w:p>
    <w:p>
      <w:r>
        <w:t>О.В. Дмитриева. Ответственность без вины в гражданском праве, 2021</w:t>
        <w:br/>
        <w:t>https://urait.ru/bcode/467780</w:t>
      </w:r>
    </w:p>
    <w:p>
      <w:r>
        <w:t>С.Э. Либанова. Гражданско-правовая ответственность: взыскание убытков, 2019</w:t>
        <w:br/>
        <w:t>https://urait.ru/book/grazhdansko-pravovaya-otvetstvennost-vzyskanie-ubytkov-426694</w:t>
      </w:r>
    </w:p>
    <w:p>
      <w:r>
        <w:t>И.А. Кузьмин. Реализация юридической ответственности за правонарушение, 2020</w:t>
        <w:br/>
        <w:t>https://www.slh-journal.isu.ru/ru/article?id=259</w:t>
      </w:r>
    </w:p>
    <w:p>
      <w:r>
        <w:t>И.А. Кузьмин. Взаимосвязи, взаимодействия и противоречия юридической ответственности и реализации права, 2021</w:t>
        <w:br/>
        <w:t>https://slh-journal.isu.ru/ru/article?id=332</w:t>
      </w:r>
    </w:p>
    <w:p>
      <w:r>
        <w:t>Библиографическая подборка научной библиотеки по теме ответственности</w:t>
        <w:br/>
        <w:t>https://korunb.nlr.ru/query_info.php?query_ID=43746</w:t>
      </w:r>
    </w:p>
    <w:p>
      <w:r>
        <w:t>Малько, Липинский, Маркунин. Юридическая ответственность как средство предупреждения правонарушений, 2020</w:t>
        <w:br/>
        <w:t>https://law-journal.hse.ru/ru/article/view/19978</w:t>
      </w:r>
    </w:p>
    <w:p>
      <w:r>
        <w:t>Т.Г. Лепина, Е.Н. Шатанкова. Проблемы применения судебного штрафа, 2020</w:t>
        <w:br/>
        <w:t>https://journals.vsu.ru/law/article/view/2813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