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120"/>
        <w:jc w:val="center"/>
      </w:pPr>
      <w:r>
        <w:rPr>
          <w:rFonts w:ascii="Arial" w:cs="Arial" w:eastAsia="Arial" w:hAnsi="Arial"/>
          <w:b/>
          <w:bCs/>
          <w:color w:val="2E8B8B"/>
          <w:spacing w:val="300"/>
          <w:sz w:val="56"/>
          <w:szCs w:val="56"/>
        </w:rPr>
        <w:t xml:space="preserve">PROJECT</w:t>
      </w:r>
    </w:p>
    <w:p>
      <w:pPr>
        <w:spacing w:after="200"/>
        <w:jc w:val="center"/>
      </w:pPr>
      <w:r>
        <w:rPr>
          <w:rFonts w:ascii="Arial" w:cs="Arial" w:eastAsia="Arial" w:hAnsi="Arial"/>
          <w:b/>
          <w:bCs/>
          <w:color w:val="1B2A4A"/>
          <w:spacing w:val="200"/>
          <w:sz w:val="72"/>
          <w:szCs w:val="72"/>
        </w:rPr>
        <w:t xml:space="preserve">PROMETHEUS</w:t>
      </w:r>
    </w:p>
    <w:p>
      <w:pPr>
        <w:pBdr>
          <w:top w:val="single" w:color="2E8B8B" w:sz="4" w:space="8"/>
          <w:bottom w:val="single" w:color="2E8B8B" w:sz="4" w:space="8"/>
        </w:pBdr>
        <w:spacing w:before="200" w:after="200"/>
        <w:jc w:val="center"/>
      </w:pPr>
      <w:r>
        <w:rPr>
          <w:rFonts w:ascii="Arial" w:cs="Arial" w:eastAsia="Arial" w:hAnsi="Arial"/>
          <w:color w:val="4A5568"/>
          <w:sz w:val="32"/>
          <w:szCs w:val="32"/>
        </w:rPr>
        <w:t xml:space="preserve">The Decentralized Field Brain</w:t>
      </w:r>
    </w:p>
    <w:p>
      <w:pPr>
        <w:spacing w:before="200" w:after="200"/>
      </w:pPr>
    </w:p>
    <w:p>
      <w:pPr>
        <w:spacing w:after="80"/>
        <w:jc w:val="center"/>
      </w:pPr>
      <w:r>
        <w:rPr>
          <w:rFonts w:ascii="Arial" w:cs="Arial" w:eastAsia="Arial" w:hAnsi="Arial"/>
          <w:color w:val="4A5568"/>
          <w:sz w:val="24"/>
          <w:szCs w:val="24"/>
        </w:rPr>
        <w:t xml:space="preserve">An Open-Source Architecture for Community-Owned,</w:t>
      </w:r>
    </w:p>
    <w:p>
      <w:pPr>
        <w:spacing w:after="80"/>
        <w:jc w:val="center"/>
      </w:pPr>
      <w:r>
        <w:rPr>
          <w:rFonts w:ascii="Arial" w:cs="Arial" w:eastAsia="Arial" w:hAnsi="Arial"/>
          <w:color w:val="4A5568"/>
          <w:sz w:val="24"/>
          <w:szCs w:val="24"/>
        </w:rPr>
        <w:t xml:space="preserve">Offline-First, Cross-Domain Survival Intelligence</w:t>
      </w:r>
    </w:p>
    <w:p>
      <w:pPr>
        <w:spacing w:before="600" w:after="600"/>
      </w:pPr>
    </w:p>
    <w:p>
      <w:pPr>
        <w:spacing w:after="80"/>
        <w:jc w:val="center"/>
      </w:pPr>
      <w:r>
        <w:rPr>
          <w:rFonts w:ascii="Arial" w:cs="Arial" w:eastAsia="Arial" w:hAnsi="Arial"/>
          <w:i/>
          <w:iCs/>
          <w:color w:val="2E8B8B"/>
          <w:sz w:val="22"/>
          <w:szCs w:val="22"/>
        </w:rPr>
        <w:t xml:space="preserve">A White Paper &amp; Open Invitation</w:t>
      </w:r>
    </w:p>
    <w:p>
      <w:pPr>
        <w:spacing w:after="40"/>
        <w:jc w:val="center"/>
      </w:pPr>
      <w:r>
        <w:rPr>
          <w:rFonts w:ascii="Arial" w:cs="Arial" w:eastAsia="Arial" w:hAnsi="Arial"/>
          <w:color w:val="4A5568"/>
          <w:sz w:val="20"/>
          <w:szCs w:val="20"/>
        </w:rPr>
        <w:t xml:space="preserve">Version 1.0  —  March 2026</w:t>
      </w:r>
    </w:p>
    <w:p>
      <w:pPr>
        <w:spacing w:before="400" w:after="400"/>
      </w:pPr>
    </w:p>
    <w:p>
      <w:pPr>
        <w:jc w:val="center"/>
      </w:pPr>
      <w:r>
        <w:rPr>
          <w:rFonts w:ascii="Arial" w:cs="Arial" w:eastAsia="Arial" w:hAnsi="Arial"/>
          <w:i/>
          <w:iCs/>
          <w:color w:val="4A5568"/>
          <w:sz w:val="18"/>
          <w:szCs w:val="18"/>
        </w:rPr>
        <w:t xml:space="preserve">This document is released into the public domain.</w:t>
      </w:r>
    </w:p>
    <w:p>
      <w:pPr>
        <w:jc w:val="center"/>
      </w:pPr>
      <w:r>
        <w:rPr>
          <w:rFonts w:ascii="Arial" w:cs="Arial" w:eastAsia="Arial" w:hAnsi="Arial"/>
          <w:i/>
          <w:iCs/>
          <w:color w:val="2E8B8B"/>
          <w:sz w:val="18"/>
          <w:szCs w:val="18"/>
        </w:rPr>
        <w:t xml:space="preserve">Copy it. Fork it. Build it. Give it away.</w:t>
      </w:r>
    </w:p>
    <w:p>
      <w:pPr>
        <w:sectPr>
          <w:pgSz w:w="12240" w:h="15840" w:orient="portrait"/>
          <w:pgMar w:top="1440" w:right="1440" w:bottom="1440" w:left="1440" w:header="708" w:footer="708" w:gutter="0"/>
          <w:pgNumType/>
          <w:docGrid w:linePitch="360"/>
        </w:sectPr>
      </w:pPr>
    </w:p>
    <w:p>
      <w:pPr>
        <w:spacing w:before="400" w:after="60"/>
        <w:jc w:val="center"/>
      </w:pPr>
      <w:r>
        <w:rPr>
          <w:rFonts w:ascii="Arial" w:cs="Arial" w:eastAsia="Arial" w:hAnsi="Arial"/>
          <w:i/>
          <w:iCs/>
          <w:color w:val="4A5568"/>
          <w:sz w:val="22"/>
          <w:szCs w:val="22"/>
        </w:rPr>
        <w:t xml:space="preserve">"He stole fire from the gods and gave it to humanity —</w:t>
      </w:r>
    </w:p>
    <w:p>
      <w:pPr>
        <w:spacing w:after="60"/>
        <w:jc w:val="center"/>
      </w:pPr>
      <w:r>
        <w:rPr>
          <w:rFonts w:ascii="Arial" w:cs="Arial" w:eastAsia="Arial" w:hAnsi="Arial"/>
          <w:i/>
          <w:iCs/>
          <w:color w:val="4A5568"/>
          <w:sz w:val="22"/>
          <w:szCs w:val="22"/>
        </w:rPr>
        <w:t xml:space="preserve">not to make them gods, but to make them free."</w:t>
      </w:r>
    </w:p>
    <w:p>
      <w:pPr>
        <w:spacing w:after="300"/>
        <w:jc w:val="center"/>
      </w:pPr>
      <w:r>
        <w:rPr>
          <w:rFonts w:ascii="Arial" w:cs="Arial" w:eastAsia="Arial" w:hAnsi="Arial"/>
          <w:color w:val="4A5568"/>
          <w:sz w:val="18"/>
          <w:szCs w:val="18"/>
        </w:rPr>
        <w:t xml:space="preserve">— Adapted from the myth of Prometheus</w:t>
      </w:r>
    </w:p>
    <w:p>
      <w:pPr>
        <w:pBdr>
          <w:bottom w:val="single" w:color="D5DDE5" w:sz="4" w:space="1"/>
        </w:pBdr>
        <w:spacing w:before="200" w:after="200"/>
      </w:pPr>
    </w:p>
    <w:p>
      <w:pPr>
        <w:pStyle w:val="Heading1"/>
        <w:spacing w:before="360" w:after="200"/>
      </w:pPr>
      <w:r>
        <w:rPr>
          <w:rFonts w:ascii="Arial" w:cs="Arial" w:eastAsia="Arial" w:hAnsi="Arial"/>
          <w:b/>
          <w:bCs/>
          <w:color w:val="1B2A4A"/>
          <w:sz w:val="32"/>
          <w:szCs w:val="32"/>
        </w:rPr>
        <w:t xml:space="preserve">I. The Problem: Knowledge Behind Walls</w:t>
      </w:r>
    </w:p>
    <w:p>
      <w:pPr>
        <w:spacing w:before="60" w:after="100" w:line="300"/>
      </w:pPr>
      <w:r>
        <w:rPr>
          <w:rFonts w:ascii="Arial" w:cs="Arial" w:eastAsia="Arial" w:hAnsi="Arial"/>
          <w:color w:val="1A1A1A"/>
          <w:sz w:val="22"/>
          <w:szCs w:val="22"/>
        </w:rPr>
        <w:t xml:space="preserve">The most dangerous form of scarcity is not material — it is cognitive. A community can survive without electricity far longer than it can survive without the knowledge to purify water, treat a wound, identify an edible plant, or navigate without GPS. Yet today, the vast majority of actionable survival, medical, agricultural, and engineering knowledge is locked behind institutional credentials, paywalled journals, proprietary software, and internet-dependent infrastructure.</w:t>
      </w:r>
    </w:p>
    <w:p>
      <w:pPr>
        <w:spacing w:before="60" w:after="100" w:line="300"/>
      </w:pPr>
      <w:r>
        <w:rPr>
          <w:rFonts w:ascii="Arial" w:cs="Arial" w:eastAsia="Arial" w:hAnsi="Arial"/>
          <w:color w:val="1A1A1A"/>
          <w:sz w:val="22"/>
          <w:szCs w:val="22"/>
        </w:rPr>
        <w:t xml:space="preserve">This creates a profound and asymmetric vulnerability:</w:t>
      </w:r>
    </w:p>
    <w:p>
      <w:pPr>
        <w:pStyle w:val="ListParagraph"/>
        <w:numPr>
          <w:ilvl w:val="0"/>
          <w:numId w:val="2"/>
        </w:numPr>
        <w:spacing w:before="40" w:after="40" w:line="280"/>
      </w:pPr>
      <w:r>
        <w:rPr>
          <w:rFonts w:ascii="Arial" w:cs="Arial" w:eastAsia="Arial" w:hAnsi="Arial"/>
          <w:color w:val="1A1A1A"/>
          <w:sz w:val="22"/>
          <w:szCs w:val="22"/>
        </w:rPr>
        <w:t xml:space="preserve">A rural health worker in sub-Saharan Africa cannot access the same pharmacological reasoning as a physician at Johns Hopkins — not because the knowledge doesn't exist, but because it is gated.</w:t>
      </w:r>
    </w:p>
    <w:p>
      <w:pPr>
        <w:pStyle w:val="ListParagraph"/>
        <w:numPr>
          <w:ilvl w:val="0"/>
          <w:numId w:val="2"/>
        </w:numPr>
        <w:spacing w:before="40" w:after="40" w:line="280"/>
      </w:pPr>
      <w:r>
        <w:rPr>
          <w:rFonts w:ascii="Arial" w:cs="Arial" w:eastAsia="Arial" w:hAnsi="Arial"/>
          <w:color w:val="1A1A1A"/>
          <w:sz w:val="22"/>
          <w:szCs w:val="22"/>
        </w:rPr>
        <w:t xml:space="preserve">A family displaced by conflict cannot cross-reference local botany with antimicrobial science to treat an infection — not because the synthesis is impossible, but because no single field manual contains it.</w:t>
      </w:r>
    </w:p>
    <w:p>
      <w:pPr>
        <w:pStyle w:val="ListParagraph"/>
        <w:numPr>
          <w:ilvl w:val="0"/>
          <w:numId w:val="2"/>
        </w:numPr>
        <w:spacing w:before="40" w:after="40" w:line="280"/>
      </w:pPr>
      <w:r>
        <w:rPr>
          <w:rFonts w:ascii="Arial" w:cs="Arial" w:eastAsia="Arial" w:hAnsi="Arial"/>
          <w:color w:val="1A1A1A"/>
          <w:sz w:val="22"/>
          <w:szCs w:val="22"/>
        </w:rPr>
        <w:t xml:space="preserve">A community facing economic collapse cannot access agricultural, medical, and engineering knowledge simultaneously — not because the information is classified, but because it is siloed by discipline and paywalled by institution.</w:t>
      </w:r>
    </w:p>
    <w:p>
      <w:pPr>
        <w:pStyle w:val="ListParagraph"/>
        <w:numPr>
          <w:ilvl w:val="0"/>
          <w:numId w:val="2"/>
        </w:numPr>
        <w:spacing w:before="40" w:after="40" w:line="280"/>
      </w:pPr>
      <w:r>
        <w:rPr>
          <w:rFonts w:ascii="Arial" w:cs="Arial" w:eastAsia="Arial" w:hAnsi="Arial"/>
          <w:color w:val="1A1A1A"/>
          <w:sz w:val="22"/>
          <w:szCs w:val="22"/>
        </w:rPr>
        <w:t xml:space="preserve">A military medic in an austere environment cannot consult a pharmacologist, a botanist, and a surgeon simultaneously — not because those disciplines are irrelevant, but because cross-domain reasoning requires either a team of specialists or a tool that can synthesize across domains.</w:t>
      </w:r>
    </w:p>
    <w:p>
      <w:pPr>
        <w:spacing w:before="80" w:after="80"/>
      </w:pPr>
    </w:p>
    <w:p>
      <w:pPr>
        <w:spacing w:before="60" w:after="100" w:line="300"/>
      </w:pPr>
      <w:r>
        <w:rPr>
          <w:rFonts w:ascii="Arial" w:cs="Arial" w:eastAsia="Arial" w:hAnsi="Arial"/>
          <w:color w:val="1A1A1A"/>
          <w:sz w:val="22"/>
          <w:szCs w:val="22"/>
        </w:rPr>
        <w:t xml:space="preserve">The internet was supposed to solve this. It did not. It centralized knowledge access behind platforms that require connectivity, subscriptions, and increasingly, algorithmic approval. When the infrastructure fails — through natural disaster, conflict, economic collapse, or deliberate disruption — the knowledge disappears with it.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1"/>
              <w:left w:val="single" w:color="2E8B8B" w:sz="12"/>
              <w:bottom w:val="single" w:color="2E8B8B" w:sz="1"/>
              <w:right w:val="single" w:color="2E8B8B" w:sz="1"/>
            </w:tcBorders>
            <w:shd w:fill="EAF4F4" w:val="clear"/>
            <w:tcMar>
              <w:top w:type="dxa" w:w="120"/>
              <w:left w:type="dxa" w:w="200"/>
              <w:bottom w:type="dxa" w:w="120"/>
              <w:right w:type="dxa" w:w="200"/>
            </w:tcMar>
          </w:tcPr>
          <w:p>
            <w:pPr>
              <w:spacing w:after="60"/>
            </w:pPr>
            <w:r>
              <w:rPr>
                <w:rFonts w:ascii="Arial" w:cs="Arial" w:eastAsia="Arial" w:hAnsi="Arial"/>
                <w:b/>
                <w:bCs/>
                <w:color w:val="2E8B8B"/>
                <w:sz w:val="22"/>
                <w:szCs w:val="22"/>
              </w:rPr>
              <w:t xml:space="preserve">The Core Thesis</w:t>
            </w:r>
          </w:p>
          <w:p>
            <w:pPr>
              <w:spacing w:before="40"/>
            </w:pPr>
            <w:r>
              <w:rPr>
                <w:rFonts w:ascii="Arial" w:cs="Arial" w:eastAsia="Arial" w:hAnsi="Arial"/>
                <w:color w:val="4A5568"/>
                <w:sz w:val="20"/>
                <w:szCs w:val="20"/>
              </w:rPr>
              <w:t xml:space="preserve">The critical gap is not information storage — it is cross-domain reasoning that operates independently of centralized infrastructure. The world does not need another digital filing cabinet. It needs a thinking partner that fits in a cargo pocket, runs on solar power, requires no internet connection, and belongs to no one.</w:t>
            </w:r>
          </w:p>
        </w:tc>
      </w:tr>
    </w:tbl>
    <w:p>
      <w:pPr>
        <w:pStyle w:val="Heading1"/>
        <w:spacing w:before="360" w:after="200"/>
      </w:pPr>
      <w:r>
        <w:rPr>
          <w:rFonts w:ascii="Arial" w:cs="Arial" w:eastAsia="Arial" w:hAnsi="Arial"/>
          <w:b/>
          <w:bCs/>
          <w:color w:val="1B2A4A"/>
          <w:sz w:val="32"/>
          <w:szCs w:val="32"/>
        </w:rPr>
        <w:t xml:space="preserve">II. The Vision: A Field Brain for Everyone</w:t>
      </w:r>
    </w:p>
    <w:p>
      <w:pPr>
        <w:spacing w:before="60" w:after="100" w:line="300"/>
      </w:pPr>
      <w:r>
        <w:rPr>
          <w:rFonts w:ascii="Arial" w:cs="Arial" w:eastAsia="Arial" w:hAnsi="Arial"/>
          <w:color w:val="1A1A1A"/>
          <w:sz w:val="22"/>
          <w:szCs w:val="22"/>
        </w:rPr>
        <w:t xml:space="preserve">Project Prometheus envisions an open-source, offline-first, community-owned artificial intelligence system built on commodity hardware — specifically a Raspberry Pi or equivalent single-board computer — loaded with cross-domain knowledge bases and powered by locally-running language models.</w:t>
      </w:r>
    </w:p>
    <w:p>
      <w:pPr>
        <w:spacing w:before="60" w:after="100" w:line="300"/>
      </w:pPr>
      <w:r>
        <w:rPr>
          <w:rFonts w:ascii="Arial" w:cs="Arial" w:eastAsia="Arial" w:hAnsi="Arial"/>
          <w:color w:val="1A1A1A"/>
          <w:sz w:val="22"/>
          <w:szCs w:val="22"/>
        </w:rPr>
        <w:t xml:space="preserve">This is not a chatbot. It is not a search engine. It is a reasoning partner — a peripheral brain that can:</w:t>
      </w:r>
    </w:p>
    <w:p>
      <w:pPr>
        <w:pStyle w:val="ListParagraph"/>
        <w:numPr>
          <w:ilvl w:val="0"/>
          <w:numId w:val="2"/>
        </w:numPr>
        <w:spacing w:before="40" w:after="40" w:line="280"/>
      </w:pPr>
      <w:r>
        <w:rPr>
          <w:rFonts w:ascii="Arial" w:cs="Arial" w:eastAsia="Arial" w:hAnsi="Arial"/>
          <w:color w:val="1A1A1A"/>
          <w:sz w:val="22"/>
          <w:szCs w:val="22"/>
        </w:rPr>
        <w:t xml:space="preserve">Synthesize across medicine, pharmacology, botany, chemistry, field craft, engineering, agriculture, security, and navigation simultaneously.</w:t>
      </w:r>
    </w:p>
    <w:p>
      <w:pPr>
        <w:pStyle w:val="ListParagraph"/>
        <w:numPr>
          <w:ilvl w:val="0"/>
          <w:numId w:val="2"/>
        </w:numPr>
        <w:spacing w:before="40" w:after="40" w:line="280"/>
      </w:pPr>
      <w:r>
        <w:rPr>
          <w:rFonts w:ascii="Arial" w:cs="Arial" w:eastAsia="Arial" w:hAnsi="Arial"/>
          <w:color w:val="1A1A1A"/>
          <w:sz w:val="22"/>
          <w:szCs w:val="22"/>
        </w:rPr>
        <w:t xml:space="preserve">Generate actionable protocols from available materials based on the user's specific situation, location, and resource constraints.</w:t>
      </w:r>
    </w:p>
    <w:p>
      <w:pPr>
        <w:pStyle w:val="ListParagraph"/>
        <w:numPr>
          <w:ilvl w:val="0"/>
          <w:numId w:val="2"/>
        </w:numPr>
        <w:spacing w:before="40" w:after="40" w:line="280"/>
      </w:pPr>
      <w:r>
        <w:rPr>
          <w:rFonts w:ascii="Arial" w:cs="Arial" w:eastAsia="Arial" w:hAnsi="Arial"/>
          <w:color w:val="1A1A1A"/>
          <w:sz w:val="22"/>
          <w:szCs w:val="22"/>
        </w:rPr>
        <w:t xml:space="preserve">Operate completely offline, indefinitely, on solar-rechargeable power.</w:t>
      </w:r>
    </w:p>
    <w:p>
      <w:pPr>
        <w:pStyle w:val="ListParagraph"/>
        <w:numPr>
          <w:ilvl w:val="0"/>
          <w:numId w:val="2"/>
        </w:numPr>
        <w:spacing w:before="40" w:after="40" w:line="280"/>
      </w:pPr>
      <w:r>
        <w:rPr>
          <w:rFonts w:ascii="Arial" w:cs="Arial" w:eastAsia="Arial" w:hAnsi="Arial"/>
          <w:color w:val="1A1A1A"/>
          <w:sz w:val="22"/>
          <w:szCs w:val="22"/>
        </w:rPr>
        <w:t xml:space="preserve">Be owned by the community it serves — no subscription, no data extraction, no corporate kill switch.</w:t>
      </w:r>
    </w:p>
    <w:p>
      <w:pPr>
        <w:pStyle w:val="ListParagraph"/>
        <w:numPr>
          <w:ilvl w:val="0"/>
          <w:numId w:val="2"/>
        </w:numPr>
        <w:spacing w:before="40" w:after="40" w:line="280"/>
      </w:pPr>
      <w:r>
        <w:rPr>
          <w:rFonts w:ascii="Arial" w:cs="Arial" w:eastAsia="Arial" w:hAnsi="Arial"/>
          <w:color w:val="1A1A1A"/>
          <w:sz w:val="22"/>
          <w:szCs w:val="22"/>
        </w:rPr>
        <w:t xml:space="preserve">Be regionally customizable — a device deployed in the Amazon basin loads different ethnobotanical data than one in Appalachia or the Sahel, but the architecture is identical.</w:t>
      </w:r>
    </w:p>
    <w:p>
      <w:pPr>
        <w:spacing w:before="80" w:after="80"/>
      </w:pPr>
    </w:p>
    <w:p>
      <w:pPr>
        <w:spacing w:before="60" w:after="100" w:line="300"/>
      </w:pPr>
      <w:r>
        <w:rPr>
          <w:rFonts w:ascii="Arial" w:cs="Arial" w:eastAsia="Arial" w:hAnsi="Arial"/>
          <w:i/>
          <w:iCs/>
          <w:color w:val="1A1A1A"/>
          <w:sz w:val="22"/>
          <w:szCs w:val="22"/>
        </w:rPr>
        <w:t xml:space="preserve">The name </w:t>
      </w:r>
      <w:r>
        <w:rPr>
          <w:rFonts w:ascii="Arial" w:cs="Arial" w:eastAsia="Arial" w:hAnsi="Arial"/>
          <w:b/>
          <w:bCs/>
          <w:i/>
          <w:iCs/>
          <w:color w:val="1A1A1A"/>
          <w:sz w:val="22"/>
          <w:szCs w:val="22"/>
        </w:rPr>
        <w:t xml:space="preserve">Prometheus</w:t>
      </w:r>
      <w:r>
        <w:rPr>
          <w:rFonts w:ascii="Arial" w:cs="Arial" w:eastAsia="Arial" w:hAnsi="Arial"/>
          <w:i/>
          <w:iCs/>
          <w:color w:val="1A1A1A"/>
          <w:sz w:val="22"/>
          <w:szCs w:val="22"/>
        </w:rPr>
        <w:t xml:space="preserve"> is deliberate. In the myth, Prometheus stole fire from the gods and gave it to humanity. Fire was not a product. It was a capability. Once distributed, it could not be revoked. Project Prometheus applies the same principle to knowledge and reasoning.</w:t>
      </w:r>
    </w:p>
    <w:p>
      <w:pPr>
        <w:pStyle w:val="Heading1"/>
        <w:spacing w:before="360" w:after="200"/>
      </w:pPr>
      <w:r>
        <w:rPr>
          <w:rFonts w:ascii="Arial" w:cs="Arial" w:eastAsia="Arial" w:hAnsi="Arial"/>
          <w:b/>
          <w:bCs/>
          <w:color w:val="1B2A4A"/>
          <w:sz w:val="32"/>
          <w:szCs w:val="32"/>
        </w:rPr>
        <w:t xml:space="preserve">III. Why Now: The Convergence</w:t>
      </w:r>
    </w:p>
    <w:p>
      <w:pPr>
        <w:spacing w:before="60" w:after="100" w:line="300"/>
      </w:pPr>
      <w:r>
        <w:rPr>
          <w:rFonts w:ascii="Arial" w:cs="Arial" w:eastAsia="Arial" w:hAnsi="Arial"/>
          <w:color w:val="1A1A1A"/>
          <w:sz w:val="22"/>
          <w:szCs w:val="22"/>
        </w:rPr>
        <w:t xml:space="preserve">Three developments have converged to make this vision technically feasible for the first time in history:</w:t>
      </w:r>
    </w:p>
    <w:p>
      <w:pPr>
        <w:pStyle w:val="Heading2"/>
        <w:spacing w:before="280" w:after="160"/>
      </w:pPr>
      <w:r>
        <w:rPr>
          <w:rFonts w:ascii="Arial" w:cs="Arial" w:eastAsia="Arial" w:hAnsi="Arial"/>
          <w:b/>
          <w:bCs/>
          <w:color w:val="2E8B8B"/>
          <w:sz w:val="26"/>
          <w:szCs w:val="26"/>
        </w:rPr>
        <w:t xml:space="preserve">A. Hardware Democratization</w:t>
      </w:r>
    </w:p>
    <w:p>
      <w:pPr>
        <w:spacing w:before="60" w:after="100" w:line="300"/>
      </w:pPr>
      <w:r>
        <w:rPr>
          <w:rFonts w:ascii="Arial" w:cs="Arial" w:eastAsia="Arial" w:hAnsi="Arial"/>
          <w:color w:val="1A1A1A"/>
          <w:sz w:val="22"/>
          <w:szCs w:val="22"/>
        </w:rPr>
        <w:t xml:space="preserve">The Raspberry Pi 5 with 8GB RAM provides a quad-core ARM Cortex-A76 processor capable of running language models with billions of parameters. The new AI HAT+ 2 adds a dedicated Hailo-10H neural processing unit with 8GB of onboard RAM, purpose-built for on-device AI inference. Combined with an NVMe SSD for storage and a battery pack for portability, the total hardware cost is under $200. This is less than a single emergency room copay in the United States.</w:t>
      </w:r>
    </w:p>
    <w:p>
      <w:pPr>
        <w:pStyle w:val="Heading2"/>
        <w:spacing w:before="280" w:after="160"/>
      </w:pPr>
      <w:r>
        <w:rPr>
          <w:rFonts w:ascii="Arial" w:cs="Arial" w:eastAsia="Arial" w:hAnsi="Arial"/>
          <w:b/>
          <w:bCs/>
          <w:color w:val="2E8B8B"/>
          <w:sz w:val="26"/>
          <w:szCs w:val="26"/>
        </w:rPr>
        <w:t xml:space="preserve">B. Model Compression</w:t>
      </w:r>
    </w:p>
    <w:p>
      <w:pPr>
        <w:spacing w:before="60" w:after="100" w:line="300"/>
      </w:pPr>
      <w:r>
        <w:rPr>
          <w:rFonts w:ascii="Arial" w:cs="Arial" w:eastAsia="Arial" w:hAnsi="Arial"/>
          <w:color w:val="1A1A1A"/>
          <w:sz w:val="22"/>
          <w:szCs w:val="22"/>
        </w:rPr>
        <w:t xml:space="preserve">Quantization techniques (GGUF, GPTQ, OmniQuant) have compressed large language models to run on devices with as little as 4-8GB of RAM while retaining meaningful reasoning capability. Models like Llama 3.1 8B, Qwen3-8B, and specialized medical models like II-Medical-8B now deliver expert-level reasoning on hardware that fits in your palm. The inference speed on a Pi 5 ranges from 4-15 tokens per second depending on model size — slower than cloud, but functionally useful for the query-response pattern of a field consultation.</w:t>
      </w:r>
    </w:p>
    <w:p>
      <w:pPr>
        <w:pStyle w:val="Heading2"/>
        <w:spacing w:before="280" w:after="160"/>
      </w:pPr>
      <w:r>
        <w:rPr>
          <w:rFonts w:ascii="Arial" w:cs="Arial" w:eastAsia="Arial" w:hAnsi="Arial"/>
          <w:b/>
          <w:bCs/>
          <w:color w:val="2E8B8B"/>
          <w:sz w:val="26"/>
          <w:szCs w:val="26"/>
        </w:rPr>
        <w:t xml:space="preserve">C. Open-Source Ecosystem</w:t>
      </w:r>
    </w:p>
    <w:p>
      <w:pPr>
        <w:spacing w:before="60" w:after="100" w:line="300"/>
      </w:pPr>
      <w:r>
        <w:rPr>
          <w:rFonts w:ascii="Arial" w:cs="Arial" w:eastAsia="Arial" w:hAnsi="Arial"/>
          <w:color w:val="1A1A1A"/>
          <w:sz w:val="22"/>
          <w:szCs w:val="22"/>
        </w:rPr>
        <w:t xml:space="preserve">The entire software stack required to build a Prometheus device already exists as open-source components: Ollama for model serving, llama.cpp for optimized inference, Open WebUI for a browser-based interface, and hundreds of specialized and fine-tuned models available through Hugging Face. The knowledge required to curate domain-specific databases exists in the public domain, open-access journals, and creative commons repositories. No proprietary component is required at any layer of the stack.</w:t>
      </w:r>
    </w:p>
    <w:p>
      <w:pPr>
        <w:pStyle w:val="Heading1"/>
        <w:spacing w:before="360" w:after="200"/>
      </w:pPr>
      <w:r>
        <w:rPr>
          <w:rFonts w:ascii="Arial" w:cs="Arial" w:eastAsia="Arial" w:hAnsi="Arial"/>
          <w:b/>
          <w:bCs/>
          <w:color w:val="1B2A4A"/>
          <w:sz w:val="32"/>
          <w:szCs w:val="32"/>
        </w:rPr>
        <w:t xml:space="preserve">IV. System Architecture</w:t>
      </w:r>
    </w:p>
    <w:p>
      <w:pPr>
        <w:pStyle w:val="Heading2"/>
        <w:spacing w:before="280" w:after="160"/>
      </w:pPr>
      <w:r>
        <w:rPr>
          <w:rFonts w:ascii="Arial" w:cs="Arial" w:eastAsia="Arial" w:hAnsi="Arial"/>
          <w:b/>
          <w:bCs/>
          <w:color w:val="2E8B8B"/>
          <w:sz w:val="26"/>
          <w:szCs w:val="26"/>
        </w:rPr>
        <w:t xml:space="preserve">A. Hardware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Compute</w:t>
            </w:r>
          </w:p>
        </w:tc>
        <w:tc>
          <w:tcPr>
            <w:tcW w:type="dxa" w:w="32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Raspberry Pi 5 (8GB) + AI HAT+ 2</w:t>
            </w:r>
          </w:p>
        </w:tc>
        <w:tc>
          <w:tcPr>
            <w:tcW w:type="dxa" w:w="32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Runs 1-8B parameter models locally with hardware acceleration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Storage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1TB NVMe SSD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Holds multiple models, full knowledge bases, offline maps</w:t>
            </w:r>
          </w:p>
        </w:tc>
      </w:tr>
      <w:tr>
        <w:tc>
          <w:tcPr>
            <w:tcW w:type="dxa" w:w="2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Power</w:t>
            </w:r>
          </w:p>
        </w:tc>
        <w:tc>
          <w:tcPr>
            <w:tcW w:type="dxa" w:w="32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PiSugar 3+ battery + 20W solar panel</w:t>
            </w:r>
          </w:p>
        </w:tc>
        <w:tc>
          <w:tcPr>
            <w:tcW w:type="dxa" w:w="32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2-3 hrs active inference; indefinite with solar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Interface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WiFi hotspot + browser UI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Any WiFi device becomes a terminal; no app install needed</w:t>
            </w:r>
          </w:p>
        </w:tc>
      </w:tr>
      <w:tr>
        <w:tc>
          <w:tcPr>
            <w:tcW w:type="dxa" w:w="2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Protection</w:t>
            </w:r>
          </w:p>
        </w:tc>
        <w:tc>
          <w:tcPr>
            <w:tcW w:type="dxa" w:w="32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Faraday pouch + ruggedized case</w:t>
            </w:r>
          </w:p>
        </w:tc>
        <w:tc>
          <w:tcPr>
            <w:tcW w:type="dxa" w:w="32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EMP protection and field durability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Networking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LoRa module (optional)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Mesh networking between devices over long range</w:t>
            </w:r>
          </w:p>
        </w:tc>
      </w:tr>
    </w:tbl>
    <w:p>
      <w:pPr>
        <w:pStyle w:val="Heading2"/>
        <w:spacing w:before="280" w:after="160"/>
      </w:pPr>
      <w:r>
        <w:rPr>
          <w:rFonts w:ascii="Arial" w:cs="Arial" w:eastAsia="Arial" w:hAnsi="Arial"/>
          <w:b/>
          <w:bCs/>
          <w:color w:val="2E8B8B"/>
          <w:sz w:val="26"/>
          <w:szCs w:val="26"/>
        </w:rPr>
        <w:t xml:space="preserve">B. Intelligence Layer</w:t>
      </w:r>
    </w:p>
    <w:p>
      <w:pPr>
        <w:spacing w:before="60" w:after="100" w:line="300"/>
      </w:pPr>
      <w:r>
        <w:rPr>
          <w:rFonts w:ascii="Arial" w:cs="Arial" w:eastAsia="Arial" w:hAnsi="Arial"/>
          <w:color w:val="1A1A1A"/>
          <w:sz w:val="22"/>
          <w:szCs w:val="22"/>
        </w:rPr>
        <w:t xml:space="preserve">The intelligence layer uses a two-tier architecture that separates reasoning from specialized knowledge:</w:t>
      </w:r>
    </w:p>
    <w:p>
      <w:pPr>
        <w:spacing w:before="200" w:after="120"/>
      </w:pPr>
      <w:r>
        <w:rPr>
          <w:rFonts w:ascii="Arial" w:cs="Arial" w:eastAsia="Arial" w:hAnsi="Arial"/>
          <w:b/>
          <w:bCs/>
          <w:color w:val="4A5568"/>
          <w:sz w:val="22"/>
          <w:szCs w:val="22"/>
        </w:rPr>
        <w:t xml:space="preserve">Tier 1: The Reasoning Engine</w:t>
      </w:r>
    </w:p>
    <w:p>
      <w:pPr>
        <w:spacing w:before="60" w:after="100" w:line="300"/>
      </w:pPr>
      <w:r>
        <w:rPr>
          <w:rFonts w:ascii="Arial" w:cs="Arial" w:eastAsia="Arial" w:hAnsi="Arial"/>
          <w:color w:val="1A1A1A"/>
          <w:sz w:val="22"/>
          <w:szCs w:val="22"/>
        </w:rPr>
        <w:t xml:space="preserve">A general-purpose language model (Llama 3.1 8B, Qwen3-8B, or equivalent) handles natural language interaction, logical reasoning, protocol synthesis, and decision support. This model provides the cross-domain thinking capability — the ability to connect pharmacology to botany to field craft in a single reasoning chain. It does not need to contain all domain knowledge in its parameters; it needs to reason well with the knowledge it is given.</w:t>
      </w:r>
    </w:p>
    <w:p>
      <w:pPr>
        <w:spacing w:before="200" w:after="120"/>
      </w:pPr>
      <w:r>
        <w:rPr>
          <w:rFonts w:ascii="Arial" w:cs="Arial" w:eastAsia="Arial" w:hAnsi="Arial"/>
          <w:b/>
          <w:bCs/>
          <w:color w:val="4A5568"/>
          <w:sz w:val="22"/>
          <w:szCs w:val="22"/>
        </w:rPr>
        <w:t xml:space="preserve">Tier 2: Domain Knowledge via RAG</w:t>
      </w:r>
    </w:p>
    <w:p>
      <w:pPr>
        <w:spacing w:before="60" w:after="100" w:line="300"/>
      </w:pPr>
      <w:r>
        <w:rPr>
          <w:rFonts w:ascii="Arial" w:cs="Arial" w:eastAsia="Arial" w:hAnsi="Arial"/>
          <w:color w:val="1A1A1A"/>
          <w:sz w:val="22"/>
          <w:szCs w:val="22"/>
        </w:rPr>
        <w:t xml:space="preserve">Retrieval-Augmented Generation (RAG) supplements the reasoning engine with curated, domain-specific knowledge bases stored on the local SSD. When the user asks a question, the system retrieves the most relevant passages from the knowledge bases and feeds them to the reasoning engine as context. This architecture means:</w:t>
      </w:r>
    </w:p>
    <w:p>
      <w:pPr>
        <w:pStyle w:val="ListParagraph"/>
        <w:numPr>
          <w:ilvl w:val="0"/>
          <w:numId w:val="2"/>
        </w:numPr>
        <w:spacing w:before="40" w:after="40" w:line="280"/>
      </w:pPr>
      <w:r>
        <w:rPr>
          <w:rFonts w:ascii="Arial" w:cs="Arial" w:eastAsia="Arial" w:hAnsi="Arial"/>
          <w:color w:val="1A1A1A"/>
          <w:sz w:val="22"/>
          <w:szCs w:val="22"/>
        </w:rPr>
        <w:t xml:space="preserve">The knowledge bases can be updated, expanded, and regionalized without retraining the model.</w:t>
      </w:r>
    </w:p>
    <w:p>
      <w:pPr>
        <w:pStyle w:val="ListParagraph"/>
        <w:numPr>
          <w:ilvl w:val="0"/>
          <w:numId w:val="2"/>
        </w:numPr>
        <w:spacing w:before="40" w:after="40" w:line="280"/>
      </w:pPr>
      <w:r>
        <w:rPr>
          <w:rFonts w:ascii="Arial" w:cs="Arial" w:eastAsia="Arial" w:hAnsi="Arial"/>
          <w:color w:val="1A1A1A"/>
          <w:sz w:val="22"/>
          <w:szCs w:val="22"/>
        </w:rPr>
        <w:t xml:space="preserve">Specialized models (e.g., II-Medical-8B for clinical questions) can be swapped in for domain-specific queries.</w:t>
      </w:r>
    </w:p>
    <w:p>
      <w:pPr>
        <w:pStyle w:val="ListParagraph"/>
        <w:numPr>
          <w:ilvl w:val="0"/>
          <w:numId w:val="2"/>
        </w:numPr>
        <w:spacing w:before="40" w:after="40" w:line="280"/>
      </w:pPr>
      <w:r>
        <w:rPr>
          <w:rFonts w:ascii="Arial" w:cs="Arial" w:eastAsia="Arial" w:hAnsi="Arial"/>
          <w:color w:val="1A1A1A"/>
          <w:sz w:val="22"/>
          <w:szCs w:val="22"/>
        </w:rPr>
        <w:t xml:space="preserve">The system can reason about information that no single model was trained on, because the RAG pipeline provides it in real time.</w:t>
      </w:r>
    </w:p>
    <w:p>
      <w:pPr>
        <w:pStyle w:val="Heading2"/>
        <w:spacing w:before="280" w:after="160"/>
      </w:pPr>
      <w:r>
        <w:rPr>
          <w:rFonts w:ascii="Arial" w:cs="Arial" w:eastAsia="Arial" w:hAnsi="Arial"/>
          <w:b/>
          <w:bCs/>
          <w:color w:val="2E8B8B"/>
          <w:sz w:val="26"/>
          <w:szCs w:val="26"/>
        </w:rPr>
        <w:t xml:space="preserve">C. Knowledge Domains</w:t>
      </w:r>
    </w:p>
    <w:p>
      <w:pPr>
        <w:spacing w:before="60" w:after="100" w:line="300"/>
      </w:pPr>
      <w:r>
        <w:rPr>
          <w:rFonts w:ascii="Arial" w:cs="Arial" w:eastAsia="Arial" w:hAnsi="Arial"/>
          <w:color w:val="1A1A1A"/>
          <w:sz w:val="22"/>
          <w:szCs w:val="22"/>
        </w:rPr>
        <w:t xml:space="preserve">The following knowledge domains represent the core curriculum for a Prometheus device. Each domain would be curated as a structured, searchable database optimized for RAG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 &amp; Content Examples</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Field Medicine</w:t>
            </w:r>
          </w:p>
        </w:tc>
        <w:tc>
          <w:tcPr>
            <w:tcW w:type="dxa" w:w="6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Trauma care, triage protocols, wound management, infection treatment, dental emergencies, childbirth, chronic disease management, mental health first aid, pharmacology reference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Ethnobotany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Regional medicinal plant identification, preparation methods, dosing, contraindications, antimicrobial properties, nutritional profiles — customized by bioregion</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Biochemistry</w:t>
            </w:r>
          </w:p>
        </w:tc>
        <w:tc>
          <w:tcPr>
            <w:tcW w:type="dxa" w:w="6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Antimicrobial mechanisms, biofilm science, metabolic pathways, drug interactions, nutrient biochemistry, delivery system theory (e.g., DMSO, liposomal, hydrogel)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Agriculture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Permaculture, soil science, seed saving, pest management, animal husbandry, food preservation, fermentation, seasonal growing guides by region</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Water &amp; Sanitation</w:t>
            </w:r>
          </w:p>
        </w:tc>
        <w:tc>
          <w:tcPr>
            <w:tcW w:type="dxa" w:w="6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Purification methods (chemical, solar, filtration, distillation), source identification, contamination testing, latrine design, waste management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Shelter construction, basic electrical systems, solar power, radio communication, tool fabrication, mechanical repair, bridge/road improvisation</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Navigation</w:t>
            </w:r>
          </w:p>
        </w:tc>
        <w:tc>
          <w:tcPr>
            <w:tcW w:type="dxa" w:w="6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Offline topographic maps, celestial navigation, compass use, terrain reading, route planning, GPS-free positioning, weather pattern recognition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Threat assessment, perimeter safety, communication security, conflict de-escalation, community defense planning, operational security basics</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Community Org.</w:t>
            </w:r>
          </w:p>
        </w:tc>
        <w:tc>
          <w:tcPr>
            <w:tcW w:type="dxa" w:w="6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Governance frameworks, resource allocation, conflict resolution, barter systems, mutual aid networks, education continuity, psychological resilience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Legal &amp; Rights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Human rights frameworks, refugee protections, land rights, documentation preservation, legal aid access — customized by jurisdiction</w:t>
            </w:r>
          </w:p>
        </w:tc>
      </w:tr>
    </w:tbl>
    <w:p>
      <w:pPr>
        <w:pStyle w:val="Heading1"/>
        <w:spacing w:before="360" w:after="200"/>
      </w:pPr>
      <w:r>
        <w:rPr>
          <w:rFonts w:ascii="Arial" w:cs="Arial" w:eastAsia="Arial" w:hAnsi="Arial"/>
          <w:b/>
          <w:bCs/>
          <w:color w:val="1B2A4A"/>
          <w:sz w:val="32"/>
          <w:szCs w:val="32"/>
        </w:rPr>
        <w:t xml:space="preserve">V. Proof of Concept: The Byzantine Fire Protocol</w:t>
      </w:r>
    </w:p>
    <w:p>
      <w:pPr>
        <w:spacing w:before="60" w:after="100" w:line="300"/>
      </w:pPr>
      <w:r>
        <w:rPr>
          <w:rFonts w:ascii="Arial" w:cs="Arial" w:eastAsia="Arial" w:hAnsi="Arial"/>
          <w:color w:val="1A1A1A"/>
          <w:sz w:val="22"/>
          <w:szCs w:val="22"/>
        </w:rPr>
        <w:t xml:space="preserve">To illustrate why a reasoning engine matters — and why a static document library is insufficient — consider the following scenario: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1"/>
              <w:left w:val="single" w:color="2E8B8B" w:sz="12"/>
              <w:bottom w:val="single" w:color="2E8B8B" w:sz="1"/>
              <w:right w:val="single" w:color="2E8B8B" w:sz="1"/>
            </w:tcBorders>
            <w:shd w:fill="EAF4F4" w:val="clear"/>
            <w:tcMar>
              <w:top w:type="dxa" w:w="120"/>
              <w:left w:type="dxa" w:w="200"/>
              <w:bottom w:type="dxa" w:w="120"/>
              <w:right w:type="dxa" w:w="200"/>
            </w:tcMar>
          </w:tcPr>
          <w:p>
            <w:pPr>
              <w:spacing w:after="60"/>
            </w:pPr>
            <w:r>
              <w:rPr>
                <w:rFonts w:ascii="Arial" w:cs="Arial" w:eastAsia="Arial" w:hAnsi="Arial"/>
                <w:b/>
                <w:bCs/>
                <w:color w:val="2E8B8B"/>
                <w:sz w:val="22"/>
                <w:szCs w:val="22"/>
              </w:rPr>
              <w:t xml:space="preserve">Scenario</w:t>
            </w:r>
          </w:p>
          <w:p>
            <w:pPr>
              <w:spacing w:before="40"/>
            </w:pPr>
            <w:r>
              <w:rPr>
                <w:rFonts w:ascii="Arial" w:cs="Arial" w:eastAsia="Arial" w:hAnsi="Arial"/>
                <w:color w:val="4A5568"/>
                <w:sz w:val="20"/>
                <w:szCs w:val="20"/>
              </w:rPr>
              <w:t xml:space="preserve">A patient presents in an austere environment with a deep periodontal abscess. No dentist is available. Conventional treatment requires surgical incision and drainage followed by 7-14 days of systemic antibiotics. Neither is available. What are the options?</w:t>
            </w:r>
          </w:p>
        </w:tc>
      </w:tr>
    </w:tbl>
    <w:p>
      <w:pPr>
        <w:spacing w:before="80" w:after="80"/>
      </w:pPr>
    </w:p>
    <w:p>
      <w:pPr>
        <w:spacing w:before="60" w:after="100" w:line="300"/>
      </w:pPr>
      <w:r>
        <w:rPr>
          <w:rFonts w:ascii="Arial" w:cs="Arial" w:eastAsia="Arial" w:hAnsi="Arial"/>
          <w:color w:val="1A1A1A"/>
          <w:sz w:val="22"/>
          <w:szCs w:val="22"/>
        </w:rPr>
        <w:t xml:space="preserve">No single field manual answers this question. A survival guide covers basic wound care. A pharmacology reference lists antibiotics. An ethnobotany guide identifies antimicrobial plants. A biochemistry text explains biofilm resistance. But none of them synthesize across domains to generate an actionable, resource-constrained protocol.</w:t>
      </w:r>
    </w:p>
    <w:p>
      <w:pPr>
        <w:spacing w:before="60" w:after="100" w:line="300"/>
      </w:pPr>
      <w:r>
        <w:rPr>
          <w:rFonts w:ascii="Arial" w:cs="Arial" w:eastAsia="Arial" w:hAnsi="Arial"/>
          <w:color w:val="1A1A1A"/>
          <w:sz w:val="22"/>
          <w:szCs w:val="22"/>
        </w:rPr>
        <w:t xml:space="preserve">A Prometheus device, reasoning across its knowledge bases, could generate something like the following synthesis — a protocol we have termed the "Byzantine Fire" approach as a theoretical exercise:</w:t>
      </w:r>
    </w:p>
    <w:p>
      <w:pPr>
        <w:pStyle w:val="ListParagraph"/>
        <w:numPr>
          <w:ilvl w:val="0"/>
          <w:numId w:val="3"/>
        </w:numPr>
        <w:spacing w:before="40" w:after="40" w:line="280"/>
      </w:pPr>
      <w:r>
        <w:rPr>
          <w:rFonts w:ascii="Arial" w:cs="Arial" w:eastAsia="Arial" w:hAnsi="Arial"/>
          <w:color w:val="1A1A1A"/>
          <w:sz w:val="22"/>
          <w:szCs w:val="22"/>
        </w:rPr>
        <w:t xml:space="preserve">Identify the core bottleneck: Biofilm encapsulation prevents antimicrobial penetration. Standard antibiotics fail locally due to acidic pH and poor perfusion. Systemic antibiotics devastate the gut microbiome to address a localized problem.</w:t>
      </w:r>
    </w:p>
    <w:p>
      <w:pPr>
        <w:pStyle w:val="ListParagraph"/>
        <w:numPr>
          <w:ilvl w:val="0"/>
          <w:numId w:val="3"/>
        </w:numPr>
        <w:spacing w:before="40" w:after="40" w:line="280"/>
      </w:pPr>
      <w:r>
        <w:rPr>
          <w:rFonts w:ascii="Arial" w:cs="Arial" w:eastAsia="Arial" w:hAnsi="Arial"/>
          <w:color w:val="1A1A1A"/>
          <w:sz w:val="22"/>
          <w:szCs w:val="22"/>
        </w:rPr>
        <w:t xml:space="preserve">Cross-reference available materials: Manuka honey (MGO 800+) provides a bio-adhesive matrix, osmotic gradient engine, and intrinsic antimicrobial activity. N-Acetylcysteine (NAC) disrupts biofilm disulfide bonds. Freshly crushed garlic (allicin) provides broad-spectrum antimicrobial action against bacterial thiol groups.</w:t>
      </w:r>
    </w:p>
    <w:p>
      <w:pPr>
        <w:pStyle w:val="ListParagraph"/>
        <w:numPr>
          <w:ilvl w:val="0"/>
          <w:numId w:val="3"/>
        </w:numPr>
        <w:spacing w:before="40" w:after="40" w:line="280"/>
      </w:pPr>
      <w:r>
        <w:rPr>
          <w:rFonts w:ascii="Arial" w:cs="Arial" w:eastAsia="Arial" w:hAnsi="Arial"/>
          <w:color w:val="1A1A1A"/>
          <w:sz w:val="22"/>
          <w:szCs w:val="22"/>
        </w:rPr>
        <w:t xml:space="preserve">Design a delivery system: Use the honey as a natural hydrogel matrix. Use DMSO as a penetration enhancer to shuttle the payload through mucosal tissue. Time the application using pharmacokinetic principles (vasodilation pre-loading, osmotic environment preparation).</w:t>
      </w:r>
    </w:p>
    <w:p>
      <w:pPr>
        <w:pStyle w:val="ListParagraph"/>
        <w:numPr>
          <w:ilvl w:val="0"/>
          <w:numId w:val="3"/>
        </w:numPr>
        <w:spacing w:before="40" w:after="40" w:line="280"/>
      </w:pPr>
      <w:r>
        <w:rPr>
          <w:rFonts w:ascii="Arial" w:cs="Arial" w:eastAsia="Arial" w:hAnsi="Arial"/>
          <w:color w:val="1A1A1A"/>
          <w:sz w:val="22"/>
          <w:szCs w:val="22"/>
        </w:rPr>
        <w:t xml:space="preserve">Stratify by severity: Mild gingival inflammation may respond to the protocol alone. Established abscess may be convertible from surgical to non-surgical with biofilm disruption. Systemic involvement still requires evacuation — but the protocol buys time.</w:t>
      </w:r>
    </w:p>
    <w:p>
      <w:pPr>
        <w:pStyle w:val="ListParagraph"/>
        <w:numPr>
          <w:ilvl w:val="0"/>
          <w:numId w:val="3"/>
        </w:numPr>
        <w:spacing w:before="40" w:after="40" w:line="280"/>
      </w:pPr>
      <w:r>
        <w:rPr>
          <w:rFonts w:ascii="Arial" w:cs="Arial" w:eastAsia="Arial" w:hAnsi="Arial"/>
          <w:color w:val="1A1A1A"/>
          <w:sz w:val="22"/>
          <w:szCs w:val="22"/>
        </w:rPr>
        <w:t xml:space="preserve">Account for collateral damage: Unlike systemic antibiotics, the localized approach preserves the gut microbiome. The "fix one problem, create several others" dynamic of conventional treatment is avoided.</w:t>
      </w:r>
    </w:p>
    <w:p>
      <w:pPr>
        <w:spacing w:before="80" w:after="80"/>
      </w:pPr>
    </w:p>
    <w:p>
      <w:pPr>
        <w:spacing w:before="60" w:after="100" w:line="300"/>
      </w:pPr>
      <w:r>
        <w:rPr>
          <w:rFonts w:ascii="Arial" w:cs="Arial" w:eastAsia="Arial" w:hAnsi="Arial"/>
          <w:color w:val="1A1A1A"/>
          <w:sz w:val="22"/>
          <w:szCs w:val="22"/>
        </w:rPr>
        <w:t xml:space="preserve">This synthesis does not exist in any published manual. It emerged from cross-domain reasoning — connecting pharmacokinetics, microbiology, ethnobotany, and materials science in a single chain. A static document library cannot produce it. A reasoning engine can.</w:t>
      </w:r>
    </w:p>
    <w:p>
      <w:pPr>
        <w:spacing w:before="60" w:after="100" w:line="300"/>
      </w:pPr>
      <w:r>
        <w:rPr>
          <w:rFonts w:ascii="Arial" w:cs="Arial" w:eastAsia="Arial" w:hAnsi="Arial"/>
          <w:color w:val="1A1A1A"/>
          <w:sz w:val="22"/>
          <w:szCs w:val="22"/>
        </w:rPr>
        <w:t xml:space="preserve">The same cross-domain synthesis applies to every domain in the knowledge base. Water purification using locally available materials. Shelter engineering adapted to regional climate and available resources. Agricultural planning that accounts for soil chemistry, local ecology, and nutritional needs simultaneously. The power is not in the information — it is in the connections between the information.</w:t>
      </w:r>
    </w:p>
    <w:p>
      <w:pPr>
        <w:pStyle w:val="Heading1"/>
        <w:spacing w:before="360" w:after="200"/>
      </w:pPr>
      <w:r>
        <w:rPr>
          <w:rFonts w:ascii="Arial" w:cs="Arial" w:eastAsia="Arial" w:hAnsi="Arial"/>
          <w:b/>
          <w:bCs/>
          <w:color w:val="1B2A4A"/>
          <w:sz w:val="32"/>
          <w:szCs w:val="32"/>
        </w:rPr>
        <w:t xml:space="preserve">VI. Landscape Analysis: What Exists vs. What's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Product/Project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Gap Prometheus Fills</w:t>
            </w:r>
          </w:p>
        </w:tc>
      </w:tr>
      <w:tr>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DoomsDay USB</w:t>
            </w:r>
          </w:p>
        </w:tc>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400+ survival manuals + offline LLM on bootable USB</w:t>
            </w:r>
          </w:p>
        </w:tc>
        <w:tc>
          <w:tcPr>
            <w:tcW w:type="dxa" w:w="24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Comprehensive library; runs on any PC</w:t>
            </w:r>
          </w:p>
        </w:tc>
        <w:tc>
          <w:tcPr>
            <w:tcW w:type="dxa" w:w="24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Static retrieval, no cross-domain reasoning; PC-dependent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Prepper AI (iOS)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74+ military manuals + on-device AI + offline maps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Mobile; map coverage; field-tested manuals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Apple ecosystem lock-in; no cross-domain synthesis; no community customization</w:t>
            </w:r>
          </w:p>
        </w:tc>
      </w:tr>
      <w:tr>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SurvivalNet (Pi)</w:t>
            </w:r>
          </w:p>
        </w:tc>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Pi-based WiFi hotspot serving offline library to any device</w:t>
            </w:r>
          </w:p>
        </w:tc>
        <w:tc>
          <w:tcPr>
            <w:tcW w:type="dxa" w:w="24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Hardware-independent access; Pi-based; multi-user</w:t>
            </w:r>
          </w:p>
        </w:tc>
        <w:tc>
          <w:tcPr>
            <w:tcW w:type="dxa" w:w="24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Basic LLM; no RAG; no domain-specific reasoning; no regional customization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II-Medical-8B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Open-source 8B medical reasoning model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Top-tier medical performance; runs on 8GB RAM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Medicine-only; no field craft, botany, engineering, or security domains</w:t>
            </w:r>
          </w:p>
        </w:tc>
      </w:tr>
      <w:tr>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GNU Health</w:t>
            </w:r>
          </w:p>
        </w:tc>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Open-source digital health ecosystem for clinical records</w:t>
            </w:r>
          </w:p>
        </w:tc>
        <w:tc>
          <w:tcPr>
            <w:tcW w:type="dxa" w:w="24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Full EHR; runs on SBCs; humanitarian-focused</w:t>
            </w:r>
          </w:p>
        </w:tc>
        <w:tc>
          <w:tcPr>
            <w:tcW w:type="dxa" w:w="24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Clinical records management, not a reasoning/advisory system</w:t>
            </w:r>
          </w:p>
        </w:tc>
      </w:tr>
    </w:tbl>
    <w:p>
      <w:pPr>
        <w:spacing w:before="80" w:after="80"/>
      </w:pPr>
    </w:p>
    <w:p>
      <w:pPr>
        <w:spacing w:before="60" w:after="100" w:line="300"/>
      </w:pPr>
      <w:r>
        <w:rPr>
          <w:rFonts w:ascii="Arial" w:cs="Arial" w:eastAsia="Arial" w:hAnsi="Arial"/>
          <w:b/>
          <w:bCs/>
          <w:color w:val="1A1A1A"/>
          <w:sz w:val="22"/>
          <w:szCs w:val="22"/>
        </w:rPr>
        <w:t xml:space="preserve">The gap is clear: </w:t>
      </w:r>
      <w:r>
        <w:rPr>
          <w:rFonts w:ascii="Arial" w:cs="Arial" w:eastAsia="Arial" w:hAnsi="Arial"/>
          <w:color w:val="1A1A1A"/>
          <w:sz w:val="22"/>
          <w:szCs w:val="22"/>
        </w:rPr>
        <w:t xml:space="preserve">existing solutions are either static libraries with chatbots bolted on, or sophisticated AI models siloed into single domains. No existing project combines cross-domain reasoning, offline-first architecture, community ownership, regional customization, and commodity hardware into a unified system.</w:t>
      </w:r>
    </w:p>
    <w:p>
      <w:pPr>
        <w:pStyle w:val="Heading1"/>
        <w:spacing w:before="360" w:after="200"/>
      </w:pPr>
      <w:r>
        <w:rPr>
          <w:rFonts w:ascii="Arial" w:cs="Arial" w:eastAsia="Arial" w:hAnsi="Arial"/>
          <w:b/>
          <w:bCs/>
          <w:color w:val="1B2A4A"/>
          <w:sz w:val="32"/>
          <w:szCs w:val="32"/>
        </w:rPr>
        <w:t xml:space="preserve">VII. Design Principles</w:t>
      </w:r>
    </w:p>
    <w:p>
      <w:pPr>
        <w:spacing w:before="60" w:after="100" w:line="300"/>
      </w:pPr>
      <w:r>
        <w:rPr>
          <w:rFonts w:ascii="Arial" w:cs="Arial" w:eastAsia="Arial" w:hAnsi="Arial"/>
          <w:color w:val="1A1A1A"/>
          <w:sz w:val="22"/>
          <w:szCs w:val="22"/>
        </w:rPr>
        <w:t xml:space="preserve">Every design decision in Project Prometheus flows from a set of non-negotiable principles:</w:t>
      </w:r>
    </w:p>
    <w:p>
      <w:pPr>
        <w:pStyle w:val="Heading2"/>
        <w:spacing w:before="280" w:after="160"/>
      </w:pPr>
      <w:r>
        <w:rPr>
          <w:rFonts w:ascii="Arial" w:cs="Arial" w:eastAsia="Arial" w:hAnsi="Arial"/>
          <w:b/>
          <w:bCs/>
          <w:color w:val="2E8B8B"/>
          <w:sz w:val="26"/>
          <w:szCs w:val="26"/>
        </w:rPr>
        <w:t xml:space="preserve">1. Offline-First, Not Offline-Capable</w:t>
      </w:r>
    </w:p>
    <w:p>
      <w:pPr>
        <w:spacing w:before="60" w:after="100" w:line="300"/>
      </w:pPr>
      <w:r>
        <w:rPr>
          <w:rFonts w:ascii="Arial" w:cs="Arial" w:eastAsia="Arial" w:hAnsi="Arial"/>
          <w:color w:val="1A1A1A"/>
          <w:sz w:val="22"/>
          <w:szCs w:val="22"/>
        </w:rPr>
        <w:t xml:space="preserve">The device must work with zero connectivity as the default state, not as a degraded fallback. Every feature, every knowledge base, every model runs locally. Internet connectivity, when available, is used only for optional updates.</w:t>
      </w:r>
    </w:p>
    <w:p>
      <w:pPr>
        <w:pStyle w:val="Heading2"/>
        <w:spacing w:before="280" w:after="160"/>
      </w:pPr>
      <w:r>
        <w:rPr>
          <w:rFonts w:ascii="Arial" w:cs="Arial" w:eastAsia="Arial" w:hAnsi="Arial"/>
          <w:b/>
          <w:bCs/>
          <w:color w:val="2E8B8B"/>
          <w:sz w:val="26"/>
          <w:szCs w:val="26"/>
        </w:rPr>
        <w:t xml:space="preserve">2. Community-Owned, Not Platform-Dependent</w:t>
      </w:r>
    </w:p>
    <w:p>
      <w:pPr>
        <w:spacing w:before="60" w:after="100" w:line="300"/>
      </w:pPr>
      <w:r>
        <w:rPr>
          <w:rFonts w:ascii="Arial" w:cs="Arial" w:eastAsia="Arial" w:hAnsi="Arial"/>
          <w:color w:val="1A1A1A"/>
          <w:sz w:val="22"/>
          <w:szCs w:val="22"/>
        </w:rPr>
        <w:t xml:space="preserve">No subscription. No account. No telemetry. No corporate entity that can revoke access, change terms, or shut down service. The device belongs to the person or community that builds it. The software and knowledge bases are licensed to ensure they remain freely available in perpetuity.</w:t>
      </w:r>
    </w:p>
    <w:p>
      <w:pPr>
        <w:pStyle w:val="Heading2"/>
        <w:spacing w:before="280" w:after="160"/>
      </w:pPr>
      <w:r>
        <w:rPr>
          <w:rFonts w:ascii="Arial" w:cs="Arial" w:eastAsia="Arial" w:hAnsi="Arial"/>
          <w:b/>
          <w:bCs/>
          <w:color w:val="2E8B8B"/>
          <w:sz w:val="26"/>
          <w:szCs w:val="26"/>
        </w:rPr>
        <w:t xml:space="preserve">3. Regionally Customizable</w:t>
      </w:r>
    </w:p>
    <w:p>
      <w:pPr>
        <w:spacing w:before="60" w:after="100" w:line="300"/>
      </w:pPr>
      <w:r>
        <w:rPr>
          <w:rFonts w:ascii="Arial" w:cs="Arial" w:eastAsia="Arial" w:hAnsi="Arial"/>
          <w:color w:val="1A1A1A"/>
          <w:sz w:val="22"/>
          <w:szCs w:val="22"/>
        </w:rPr>
        <w:t xml:space="preserve">A device deployed in the highlands of Guatemala serves different needs than one in coastal Bangladesh or northern Manitoba. The architecture is universal; the knowledge layer is customized. Regional packs include local flora and fauna, climate-appropriate agriculture, jurisdiction-specific legal frameworks, and culturally appropriate health practices — curated with and by the communities they serve.</w:t>
      </w:r>
    </w:p>
    <w:p>
      <w:pPr>
        <w:pStyle w:val="Heading2"/>
        <w:spacing w:before="280" w:after="160"/>
      </w:pPr>
      <w:r>
        <w:rPr>
          <w:rFonts w:ascii="Arial" w:cs="Arial" w:eastAsia="Arial" w:hAnsi="Arial"/>
          <w:b/>
          <w:bCs/>
          <w:color w:val="2E8B8B"/>
          <w:sz w:val="26"/>
          <w:szCs w:val="26"/>
        </w:rPr>
        <w:t xml:space="preserve">4. Stress-Tested Interface Design</w:t>
      </w:r>
    </w:p>
    <w:p>
      <w:pPr>
        <w:spacing w:before="60" w:after="100" w:line="300"/>
      </w:pPr>
      <w:r>
        <w:rPr>
          <w:rFonts w:ascii="Arial" w:cs="Arial" w:eastAsia="Arial" w:hAnsi="Arial"/>
          <w:color w:val="1A1A1A"/>
          <w:sz w:val="22"/>
          <w:szCs w:val="22"/>
        </w:rPr>
        <w:t xml:space="preserve">The user may be exhausted, injured, frightened, or operating under time pressure. The interface must be simple enough to use in the worst conditions. Voice-driven interaction for hands-free use. A browser-based UI accessible from any WiFi-capable device. Clear, protocol-style outputs with step-by-step instructions. No unnecessary complexity.</w:t>
      </w:r>
    </w:p>
    <w:p>
      <w:pPr>
        <w:pStyle w:val="Heading2"/>
        <w:spacing w:before="280" w:after="160"/>
      </w:pPr>
      <w:r>
        <w:rPr>
          <w:rFonts w:ascii="Arial" w:cs="Arial" w:eastAsia="Arial" w:hAnsi="Arial"/>
          <w:b/>
          <w:bCs/>
          <w:color w:val="2E8B8B"/>
          <w:sz w:val="26"/>
          <w:szCs w:val="26"/>
        </w:rPr>
        <w:t xml:space="preserve">5. Honest About Limitations</w:t>
      </w:r>
    </w:p>
    <w:p>
      <w:pPr>
        <w:spacing w:before="60" w:after="100" w:line="300"/>
      </w:pPr>
      <w:r>
        <w:rPr>
          <w:rFonts w:ascii="Arial" w:cs="Arial" w:eastAsia="Arial" w:hAnsi="Arial"/>
          <w:color w:val="1A1A1A"/>
          <w:sz w:val="22"/>
          <w:szCs w:val="22"/>
        </w:rPr>
        <w:t xml:space="preserve">The system must clearly communicate what it can and cannot do. It must identify when a situation exceeds its advisory capability and recommend escalation to professional care or evacuation. It must flag confidence levels and distinguish between evidence-based recommendations and theoretical extrapolations. It is a bridge, not a replacement.</w:t>
      </w:r>
    </w:p>
    <w:p>
      <w:pPr>
        <w:pStyle w:val="Heading2"/>
        <w:spacing w:before="280" w:after="160"/>
      </w:pPr>
      <w:r>
        <w:rPr>
          <w:rFonts w:ascii="Arial" w:cs="Arial" w:eastAsia="Arial" w:hAnsi="Arial"/>
          <w:b/>
          <w:bCs/>
          <w:color w:val="2E8B8B"/>
          <w:sz w:val="26"/>
          <w:szCs w:val="26"/>
        </w:rPr>
        <w:t xml:space="preserve">6. Seven-Generation Stewardship</w:t>
      </w:r>
    </w:p>
    <w:p>
      <w:pPr>
        <w:spacing w:before="60" w:after="100" w:line="300"/>
      </w:pPr>
      <w:r>
        <w:rPr>
          <w:rFonts w:ascii="Arial" w:cs="Arial" w:eastAsia="Arial" w:hAnsi="Arial"/>
          <w:color w:val="1A1A1A"/>
          <w:sz w:val="22"/>
          <w:szCs w:val="22"/>
        </w:rPr>
        <w:t xml:space="preserve">Every decision is evaluated against a long-horizon question: does this choice build resilience that compounds over time, or does it create dependency that compounds over time? Open-source licensing, community ownership, and hardware independence are not ideological preferences — they are engineering decisions that ensure the system remains available to future generations regardless of what happens to any single company, government, or institution.</w:t>
      </w:r>
    </w:p>
    <w:p>
      <w:pPr>
        <w:pStyle w:val="Heading1"/>
        <w:spacing w:before="360" w:after="200"/>
      </w:pPr>
      <w:r>
        <w:rPr>
          <w:rFonts w:ascii="Arial" w:cs="Arial" w:eastAsia="Arial" w:hAnsi="Arial"/>
          <w:b/>
          <w:bCs/>
          <w:color w:val="1B2A4A"/>
          <w:sz w:val="32"/>
          <w:szCs w:val="32"/>
        </w:rPr>
        <w:t xml:space="preserve">VIII. Use Cases</w:t>
      </w:r>
    </w:p>
    <w:p>
      <w:pPr>
        <w:pStyle w:val="Heading2"/>
        <w:spacing w:before="280" w:after="160"/>
      </w:pPr>
      <w:r>
        <w:rPr>
          <w:rFonts w:ascii="Arial" w:cs="Arial" w:eastAsia="Arial" w:hAnsi="Arial"/>
          <w:b/>
          <w:bCs/>
          <w:color w:val="2E8B8B"/>
          <w:sz w:val="26"/>
          <w:szCs w:val="26"/>
        </w:rPr>
        <w:t xml:space="preserve">A. Humanitarian &amp; Disaster Response</w:t>
      </w:r>
    </w:p>
    <w:p>
      <w:pPr>
        <w:spacing w:before="60" w:after="100" w:line="300"/>
      </w:pPr>
      <w:r>
        <w:rPr>
          <w:rFonts w:ascii="Arial" w:cs="Arial" w:eastAsia="Arial" w:hAnsi="Arial"/>
          <w:color w:val="1A1A1A"/>
          <w:sz w:val="22"/>
          <w:szCs w:val="22"/>
        </w:rPr>
        <w:t xml:space="preserve">A community health worker in a disaster zone connects their phone to a Prometheus device and asks: "A child has a deep laceration on the forearm, I have clean water, honey, turmeric, and basic suture supplies. Walk me through wound management." The device generates a step-by-step protocol, cross-referencing wound care best practices with the available materials, including antimicrobial properties of the honey and anti-inflammatory mechanisms of the turmeric.</w:t>
      </w:r>
    </w:p>
    <w:p>
      <w:pPr>
        <w:pStyle w:val="Heading2"/>
        <w:spacing w:before="280" w:after="160"/>
      </w:pPr>
      <w:r>
        <w:rPr>
          <w:rFonts w:ascii="Arial" w:cs="Arial" w:eastAsia="Arial" w:hAnsi="Arial"/>
          <w:b/>
          <w:bCs/>
          <w:color w:val="2E8B8B"/>
          <w:sz w:val="26"/>
          <w:szCs w:val="26"/>
        </w:rPr>
        <w:t xml:space="preserve">B. Remote &amp; Indigenous Communities</w:t>
      </w:r>
    </w:p>
    <w:p>
      <w:pPr>
        <w:spacing w:before="60" w:after="100" w:line="300"/>
      </w:pPr>
      <w:r>
        <w:rPr>
          <w:rFonts w:ascii="Arial" w:cs="Arial" w:eastAsia="Arial" w:hAnsi="Arial"/>
          <w:color w:val="1A1A1A"/>
          <w:sz w:val="22"/>
          <w:szCs w:val="22"/>
        </w:rPr>
        <w:t xml:space="preserve">A community in the Amazon basin loads their Prometheus device with regional ethnobotanical data curated by their own traditional knowledge holders, alongside modern pharmacological references. The device becomes a bridge between traditional ecological knowledge and contemporary science — validating ancestral practices with modern mechanisms while preserving cultural sovereignty over the knowledge itself.</w:t>
      </w:r>
    </w:p>
    <w:p>
      <w:pPr>
        <w:pStyle w:val="Heading2"/>
        <w:spacing w:before="280" w:after="160"/>
      </w:pPr>
      <w:r>
        <w:rPr>
          <w:rFonts w:ascii="Arial" w:cs="Arial" w:eastAsia="Arial" w:hAnsi="Arial"/>
          <w:b/>
          <w:bCs/>
          <w:color w:val="2E8B8B"/>
          <w:sz w:val="26"/>
          <w:szCs w:val="26"/>
        </w:rPr>
        <w:t xml:space="preserve">C. Military &amp; Austere Medicine</w:t>
      </w:r>
    </w:p>
    <w:p>
      <w:pPr>
        <w:spacing w:before="60" w:after="100" w:line="300"/>
      </w:pPr>
      <w:r>
        <w:rPr>
          <w:rFonts w:ascii="Arial" w:cs="Arial" w:eastAsia="Arial" w:hAnsi="Arial"/>
          <w:color w:val="1A1A1A"/>
          <w:sz w:val="22"/>
          <w:szCs w:val="22"/>
        </w:rPr>
        <w:t xml:space="preserve">A combat medic carries a Prometheus device alongside their standard kit. When encountering a clinical situation that exceeds their training — a complex infection, a drug interaction question, an unfamiliar environmental toxin — they consult the device for cross-domain guidance. The device provides a stabilization protocol using available materials, calculates dosing from field-available pharmaceuticals, and advises on evacuation triggers.</w:t>
      </w:r>
    </w:p>
    <w:p>
      <w:pPr>
        <w:pStyle w:val="Heading2"/>
        <w:spacing w:before="280" w:after="160"/>
      </w:pPr>
      <w:r>
        <w:rPr>
          <w:rFonts w:ascii="Arial" w:cs="Arial" w:eastAsia="Arial" w:hAnsi="Arial"/>
          <w:b/>
          <w:bCs/>
          <w:color w:val="2E8B8B"/>
          <w:sz w:val="26"/>
          <w:szCs w:val="26"/>
        </w:rPr>
        <w:t xml:space="preserve">D. Community Resilience &amp; Preparedness</w:t>
      </w:r>
    </w:p>
    <w:p>
      <w:pPr>
        <w:spacing w:before="60" w:after="100" w:line="300"/>
      </w:pPr>
      <w:r>
        <w:rPr>
          <w:rFonts w:ascii="Arial" w:cs="Arial" w:eastAsia="Arial" w:hAnsi="Arial"/>
          <w:color w:val="1A1A1A"/>
          <w:sz w:val="22"/>
          <w:szCs w:val="22"/>
        </w:rPr>
        <w:t xml:space="preserve">A suburban family adds a Prometheus device to their emergency preparedness kit alongside water, food, and first aid supplies. In a prolonged grid-down scenario, the device provides guidance on water purification, food preservation, basic medical care, radio communication, and community organizing — all from a single solar-rechargeable device.</w:t>
      </w:r>
    </w:p>
    <w:p>
      <w:pPr>
        <w:pStyle w:val="Heading2"/>
        <w:spacing w:before="280" w:after="160"/>
      </w:pPr>
      <w:r>
        <w:rPr>
          <w:rFonts w:ascii="Arial" w:cs="Arial" w:eastAsia="Arial" w:hAnsi="Arial"/>
          <w:b/>
          <w:bCs/>
          <w:color w:val="2E8B8B"/>
          <w:sz w:val="26"/>
          <w:szCs w:val="26"/>
        </w:rPr>
        <w:t xml:space="preserve">E. Education &amp; Science Fairs</w:t>
      </w:r>
    </w:p>
    <w:p>
      <w:pPr>
        <w:spacing w:before="60" w:after="100" w:line="300"/>
      </w:pPr>
      <w:r>
        <w:rPr>
          <w:rFonts w:ascii="Arial" w:cs="Arial" w:eastAsia="Arial" w:hAnsi="Arial"/>
          <w:color w:val="1A1A1A"/>
          <w:sz w:val="22"/>
          <w:szCs w:val="22"/>
        </w:rPr>
        <w:t xml:space="preserve">A young person builds a Prometheus prototype for a science fair, learning biochemistry, pharmacology, botany, engineering, and ethics in the process. The project teaches cross-domain thinking, engineering under constraints, and the principle that technology is a lever for capability rather than a consumer product. The science fair project becomes a seed for community-level resilience.</w:t>
      </w:r>
    </w:p>
    <w:p>
      <w:pPr>
        <w:pStyle w:val="Heading1"/>
        <w:spacing w:before="360" w:after="200"/>
      </w:pPr>
      <w:r>
        <w:rPr>
          <w:rFonts w:ascii="Arial" w:cs="Arial" w:eastAsia="Arial" w:hAnsi="Arial"/>
          <w:b/>
          <w:bCs/>
          <w:color w:val="1B2A4A"/>
          <w:sz w:val="32"/>
          <w:szCs w:val="32"/>
        </w:rPr>
        <w:t xml:space="preserve">IX. Getting Started: How to Build a Prometheus Device</w:t>
      </w:r>
    </w:p>
    <w:p>
      <w:pPr>
        <w:spacing w:before="60" w:after="100" w:line="300"/>
      </w:pPr>
      <w:r>
        <w:rPr>
          <w:rFonts w:ascii="Arial" w:cs="Arial" w:eastAsia="Arial" w:hAnsi="Arial"/>
          <w:color w:val="1A1A1A"/>
          <w:sz w:val="22"/>
          <w:szCs w:val="22"/>
        </w:rPr>
        <w:t xml:space="preserve">The following is a simplified guide for building a functional prototype. A detailed technical build guide is a natural next deliverable for this project.</w:t>
      </w:r>
    </w:p>
    <w:p>
      <w:pPr>
        <w:pStyle w:val="Heading2"/>
        <w:spacing w:before="280" w:after="160"/>
      </w:pPr>
      <w:r>
        <w:rPr>
          <w:rFonts w:ascii="Arial" w:cs="Arial" w:eastAsia="Arial" w:hAnsi="Arial"/>
          <w:b/>
          <w:bCs/>
          <w:color w:val="2E8B8B"/>
          <w:sz w:val="26"/>
          <w:szCs w:val="26"/>
        </w:rPr>
        <w:t xml:space="preserve">Hardware Assembly</w:t>
      </w:r>
    </w:p>
    <w:p>
      <w:pPr>
        <w:pStyle w:val="ListParagraph"/>
        <w:numPr>
          <w:ilvl w:val="0"/>
          <w:numId w:val="4"/>
        </w:numPr>
        <w:spacing w:before="40" w:after="40" w:line="280"/>
      </w:pPr>
      <w:r>
        <w:rPr>
          <w:rFonts w:ascii="Arial" w:cs="Arial" w:eastAsia="Arial" w:hAnsi="Arial"/>
          <w:color w:val="1A1A1A"/>
          <w:sz w:val="22"/>
          <w:szCs w:val="22"/>
        </w:rPr>
        <w:t xml:space="preserve">Acquire a Raspberry Pi 5 (8GB RAM model). Approximate cost: $80.</w:t>
      </w:r>
    </w:p>
    <w:p>
      <w:pPr>
        <w:pStyle w:val="ListParagraph"/>
        <w:numPr>
          <w:ilvl w:val="0"/>
          <w:numId w:val="4"/>
        </w:numPr>
        <w:spacing w:before="40" w:after="40" w:line="280"/>
      </w:pPr>
      <w:r>
        <w:rPr>
          <w:rFonts w:ascii="Arial" w:cs="Arial" w:eastAsia="Arial" w:hAnsi="Arial"/>
          <w:color w:val="1A1A1A"/>
          <w:sz w:val="22"/>
          <w:szCs w:val="22"/>
        </w:rPr>
        <w:t xml:space="preserve">Add an NVMe SSD (256GB minimum, 1TB recommended) via M.2 HAT. Approximate cost: $30-80.</w:t>
      </w:r>
    </w:p>
    <w:p>
      <w:pPr>
        <w:pStyle w:val="ListParagraph"/>
        <w:numPr>
          <w:ilvl w:val="0"/>
          <w:numId w:val="4"/>
        </w:numPr>
        <w:spacing w:before="40" w:after="40" w:line="280"/>
      </w:pPr>
      <w:r>
        <w:rPr>
          <w:rFonts w:ascii="Arial" w:cs="Arial" w:eastAsia="Arial" w:hAnsi="Arial"/>
          <w:color w:val="1A1A1A"/>
          <w:sz w:val="22"/>
          <w:szCs w:val="22"/>
        </w:rPr>
        <w:t xml:space="preserve">(Optional) Add the Raspberry Pi AI HAT+ 2 for hardware-accelerated inference. Approximate cost: $130.</w:t>
      </w:r>
    </w:p>
    <w:p>
      <w:pPr>
        <w:pStyle w:val="ListParagraph"/>
        <w:numPr>
          <w:ilvl w:val="0"/>
          <w:numId w:val="4"/>
        </w:numPr>
        <w:spacing w:before="40" w:after="40" w:line="280"/>
      </w:pPr>
      <w:r>
        <w:rPr>
          <w:rFonts w:ascii="Arial" w:cs="Arial" w:eastAsia="Arial" w:hAnsi="Arial"/>
          <w:color w:val="1A1A1A"/>
          <w:sz w:val="22"/>
          <w:szCs w:val="22"/>
        </w:rPr>
        <w:t xml:space="preserve">Add a battery solution (PiSugar 3+ or equivalent) and a portable solar panel (20W minimum). Approximate cost: $40-80.</w:t>
      </w:r>
    </w:p>
    <w:p>
      <w:pPr>
        <w:pStyle w:val="ListParagraph"/>
        <w:numPr>
          <w:ilvl w:val="0"/>
          <w:numId w:val="4"/>
        </w:numPr>
        <w:spacing w:before="40" w:after="40" w:line="280"/>
      </w:pPr>
      <w:r>
        <w:rPr>
          <w:rFonts w:ascii="Arial" w:cs="Arial" w:eastAsia="Arial" w:hAnsi="Arial"/>
          <w:color w:val="1A1A1A"/>
          <w:sz w:val="22"/>
          <w:szCs w:val="22"/>
        </w:rPr>
        <w:t xml:space="preserve">Install in a ruggedized, weather-resistant enclosure. Store in a Faraday pouch when not in use. Approximate cost: $20-40.</w:t>
      </w:r>
    </w:p>
    <w:p>
      <w:pPr>
        <w:spacing w:before="60" w:after="60"/>
      </w:pPr>
    </w:p>
    <w:p>
      <w:pPr>
        <w:spacing w:before="60" w:after="100" w:line="300"/>
      </w:pPr>
      <w:r>
        <w:rPr>
          <w:rFonts w:ascii="Arial" w:cs="Arial" w:eastAsia="Arial" w:hAnsi="Arial"/>
          <w:b/>
          <w:bCs/>
          <w:color w:val="1A1A1A"/>
          <w:sz w:val="22"/>
          <w:szCs w:val="22"/>
        </w:rPr>
        <w:t xml:space="preserve">Total estimated cost: $200–$410</w:t>
      </w:r>
      <w:r>
        <w:rPr>
          <w:rFonts w:ascii="Arial" w:cs="Arial" w:eastAsia="Arial" w:hAnsi="Arial"/>
          <w:color w:val="1A1A1A"/>
          <w:sz w:val="22"/>
          <w:szCs w:val="22"/>
        </w:rPr>
        <w:t xml:space="preserve"> depending on configuration.</w:t>
      </w:r>
    </w:p>
    <w:p>
      <w:pPr>
        <w:pStyle w:val="Heading2"/>
        <w:spacing w:before="280" w:after="160"/>
      </w:pPr>
      <w:r>
        <w:rPr>
          <w:rFonts w:ascii="Arial" w:cs="Arial" w:eastAsia="Arial" w:hAnsi="Arial"/>
          <w:b/>
          <w:bCs/>
          <w:color w:val="2E8B8B"/>
          <w:sz w:val="26"/>
          <w:szCs w:val="26"/>
        </w:rPr>
        <w:t xml:space="preserve">Software Setup</w:t>
      </w:r>
    </w:p>
    <w:p>
      <w:pPr>
        <w:pStyle w:val="ListParagraph"/>
        <w:numPr>
          <w:ilvl w:val="0"/>
          <w:numId w:val="4"/>
        </w:numPr>
        <w:spacing w:before="40" w:after="40" w:line="280"/>
      </w:pPr>
      <w:r>
        <w:rPr>
          <w:rFonts w:ascii="Arial" w:cs="Arial" w:eastAsia="Arial" w:hAnsi="Arial"/>
          <w:color w:val="1A1A1A"/>
          <w:sz w:val="22"/>
          <w:szCs w:val="22"/>
        </w:rPr>
        <w:t xml:space="preserve">Flash Raspberry Pi OS (64-bit) to the SSD.</w:t>
      </w:r>
    </w:p>
    <w:p>
      <w:pPr>
        <w:pStyle w:val="ListParagraph"/>
        <w:numPr>
          <w:ilvl w:val="0"/>
          <w:numId w:val="4"/>
        </w:numPr>
        <w:spacing w:before="40" w:after="40" w:line="280"/>
      </w:pPr>
      <w:r>
        <w:rPr>
          <w:rFonts w:ascii="Arial" w:cs="Arial" w:eastAsia="Arial" w:hAnsi="Arial"/>
          <w:color w:val="1A1A1A"/>
          <w:sz w:val="22"/>
          <w:szCs w:val="22"/>
        </w:rPr>
        <w:t xml:space="preserve">Install Ollama (one-line install script) for local model serving.</w:t>
      </w:r>
    </w:p>
    <w:p>
      <w:pPr>
        <w:pStyle w:val="ListParagraph"/>
        <w:numPr>
          <w:ilvl w:val="0"/>
          <w:numId w:val="4"/>
        </w:numPr>
        <w:spacing w:before="40" w:after="40" w:line="280"/>
      </w:pPr>
      <w:r>
        <w:rPr>
          <w:rFonts w:ascii="Arial" w:cs="Arial" w:eastAsia="Arial" w:hAnsi="Arial"/>
          <w:color w:val="1A1A1A"/>
          <w:sz w:val="22"/>
          <w:szCs w:val="22"/>
        </w:rPr>
        <w:t xml:space="preserve">Download quantized models: a general reasoning model (Llama 3.1 8B or Qwen3-8B) and a medical specialist model (II-Medical-8B).</w:t>
      </w:r>
    </w:p>
    <w:p>
      <w:pPr>
        <w:pStyle w:val="ListParagraph"/>
        <w:numPr>
          <w:ilvl w:val="0"/>
          <w:numId w:val="4"/>
        </w:numPr>
        <w:spacing w:before="40" w:after="40" w:line="280"/>
      </w:pPr>
      <w:r>
        <w:rPr>
          <w:rFonts w:ascii="Arial" w:cs="Arial" w:eastAsia="Arial" w:hAnsi="Arial"/>
          <w:color w:val="1A1A1A"/>
          <w:sz w:val="22"/>
          <w:szCs w:val="22"/>
        </w:rPr>
        <w:t xml:space="preserve">Install Open WebUI for a browser-based chat interface accessible from any connected device.</w:t>
      </w:r>
    </w:p>
    <w:p>
      <w:pPr>
        <w:pStyle w:val="ListParagraph"/>
        <w:numPr>
          <w:ilvl w:val="0"/>
          <w:numId w:val="4"/>
        </w:numPr>
        <w:spacing w:before="40" w:after="40" w:line="280"/>
      </w:pPr>
      <w:r>
        <w:rPr>
          <w:rFonts w:ascii="Arial" w:cs="Arial" w:eastAsia="Arial" w:hAnsi="Arial"/>
          <w:color w:val="1A1A1A"/>
          <w:sz w:val="22"/>
          <w:szCs w:val="22"/>
        </w:rPr>
        <w:t xml:space="preserve">Configure the Pi as a WiFi hotspot so any phone, tablet, or laptop can connect and interact.</w:t>
      </w:r>
    </w:p>
    <w:p>
      <w:pPr>
        <w:pStyle w:val="ListParagraph"/>
        <w:numPr>
          <w:ilvl w:val="0"/>
          <w:numId w:val="4"/>
        </w:numPr>
        <w:spacing w:before="40" w:after="40" w:line="280"/>
      </w:pPr>
      <w:r>
        <w:rPr>
          <w:rFonts w:ascii="Arial" w:cs="Arial" w:eastAsia="Arial" w:hAnsi="Arial"/>
          <w:color w:val="1A1A1A"/>
          <w:sz w:val="22"/>
          <w:szCs w:val="22"/>
        </w:rPr>
        <w:t xml:space="preserve">Set up a RAG pipeline (using a tool like LlamaIndex or LangChain) connected to the local knowledge bases.</w:t>
      </w:r>
    </w:p>
    <w:p>
      <w:pPr>
        <w:pStyle w:val="ListParagraph"/>
        <w:numPr>
          <w:ilvl w:val="0"/>
          <w:numId w:val="4"/>
        </w:numPr>
        <w:spacing w:before="40" w:after="40" w:line="280"/>
      </w:pPr>
      <w:r>
        <w:rPr>
          <w:rFonts w:ascii="Arial" w:cs="Arial" w:eastAsia="Arial" w:hAnsi="Arial"/>
          <w:color w:val="1A1A1A"/>
          <w:sz w:val="22"/>
          <w:szCs w:val="22"/>
        </w:rPr>
        <w:t xml:space="preserve">Load curated knowledge databases onto the SSD, organized by domain.</w:t>
      </w:r>
    </w:p>
    <w:p>
      <w:pPr>
        <w:pStyle w:val="Heading2"/>
        <w:spacing w:before="280" w:after="160"/>
      </w:pPr>
      <w:r>
        <w:rPr>
          <w:rFonts w:ascii="Arial" w:cs="Arial" w:eastAsia="Arial" w:hAnsi="Arial"/>
          <w:b/>
          <w:bCs/>
          <w:color w:val="2E8B8B"/>
          <w:sz w:val="26"/>
          <w:szCs w:val="26"/>
        </w:rPr>
        <w:t xml:space="preserve">Knowledge Curation</w:t>
      </w:r>
    </w:p>
    <w:p>
      <w:pPr>
        <w:spacing w:before="60" w:after="100" w:line="300"/>
      </w:pPr>
      <w:r>
        <w:rPr>
          <w:rFonts w:ascii="Arial" w:cs="Arial" w:eastAsia="Arial" w:hAnsi="Arial"/>
          <w:color w:val="1A1A1A"/>
          <w:sz w:val="22"/>
          <w:szCs w:val="22"/>
        </w:rPr>
        <w:t xml:space="preserve">This is the highest-value and most labor-intensive phase. The quality of a Prometheus device is determined not by the hardware or the model, but by the quality and organization of the knowledge it can access. Community-driven curation — with domain experts validating content and regional specialists customizing it — is essential. The knowledge curation framework is where this project most needs open-source collaboration.</w:t>
      </w:r>
    </w:p>
    <w:p>
      <w:pPr>
        <w:pStyle w:val="Heading1"/>
        <w:spacing w:before="360" w:after="200"/>
      </w:pPr>
      <w:r>
        <w:rPr>
          <w:rFonts w:ascii="Arial" w:cs="Arial" w:eastAsia="Arial" w:hAnsi="Arial"/>
          <w:b/>
          <w:bCs/>
          <w:color w:val="1B2A4A"/>
          <w:sz w:val="32"/>
          <w:szCs w:val="32"/>
        </w:rPr>
        <w:t xml:space="preserve">X. The Open Invitation</w:t>
      </w:r>
    </w:p>
    <w:p>
      <w:pPr>
        <w:spacing w:before="60" w:after="100" w:line="300"/>
      </w:pPr>
      <w:r>
        <w:rPr>
          <w:rFonts w:ascii="Arial" w:cs="Arial" w:eastAsia="Arial" w:hAnsi="Arial"/>
          <w:color w:val="1A1A1A"/>
          <w:sz w:val="22"/>
          <w:szCs w:val="22"/>
        </w:rPr>
        <w:t xml:space="preserve">Project Prometheus is not a product. It is not a company. It is an idea released into the wild — an architecture, a rationale, and an invitation.</w:t>
      </w:r>
    </w:p>
    <w:p>
      <w:pPr>
        <w:spacing w:before="60" w:after="100" w:line="300"/>
      </w:pPr>
      <w:r>
        <w:rPr>
          <w:rFonts w:ascii="Arial" w:cs="Arial" w:eastAsia="Arial" w:hAnsi="Arial"/>
          <w:color w:val="1A1A1A"/>
          <w:sz w:val="22"/>
          <w:szCs w:val="22"/>
        </w:rPr>
        <w:t xml:space="preserve">We are specifically inviting:</w:t>
      </w:r>
    </w:p>
    <w:p>
      <w:pPr>
        <w:pStyle w:val="ListParagraph"/>
        <w:numPr>
          <w:ilvl w:val="0"/>
          <w:numId w:val="2"/>
        </w:numPr>
        <w:spacing w:before="40" w:after="40" w:line="280"/>
      </w:pPr>
      <w:r>
        <w:rPr>
          <w:rFonts w:ascii="Arial" w:cs="Arial" w:eastAsia="Arial" w:hAnsi="Arial"/>
          <w:b/>
          <w:bCs/>
          <w:color w:val="1A1A1A"/>
          <w:sz w:val="22"/>
          <w:szCs w:val="22"/>
        </w:rPr>
        <w:t xml:space="preserve">Makers and hardware engineers</w:t>
      </w:r>
      <w:r>
        <w:rPr>
          <w:rFonts w:ascii="Arial" w:cs="Arial" w:eastAsia="Arial" w:hAnsi="Arial"/>
          <w:color w:val="1A1A1A"/>
          <w:sz w:val="22"/>
          <w:szCs w:val="22"/>
        </w:rPr>
        <w:t xml:space="preserve"> to design optimized, ruggedized, field-ready hardware configurations and publish open build guides.</w:t>
      </w:r>
    </w:p>
    <w:p>
      <w:pPr>
        <w:pStyle w:val="ListParagraph"/>
        <w:numPr>
          <w:ilvl w:val="0"/>
          <w:numId w:val="2"/>
        </w:numPr>
        <w:spacing w:before="40" w:after="40" w:line="280"/>
      </w:pPr>
      <w:r>
        <w:rPr>
          <w:rFonts w:ascii="Arial" w:cs="Arial" w:eastAsia="Arial" w:hAnsi="Arial"/>
          <w:b/>
          <w:bCs/>
          <w:color w:val="1A1A1A"/>
          <w:sz w:val="22"/>
          <w:szCs w:val="22"/>
        </w:rPr>
        <w:t xml:space="preserve">AI/ML engineers</w:t>
      </w:r>
      <w:r>
        <w:rPr>
          <w:rFonts w:ascii="Arial" w:cs="Arial" w:eastAsia="Arial" w:hAnsi="Arial"/>
          <w:color w:val="1A1A1A"/>
          <w:sz w:val="22"/>
          <w:szCs w:val="22"/>
        </w:rPr>
        <w:t xml:space="preserve"> to develop optimized RAG pipelines, fine-tune domain-specific models, and push the boundaries of what small models can do on edge hardware.</w:t>
      </w:r>
    </w:p>
    <w:p>
      <w:pPr>
        <w:pStyle w:val="ListParagraph"/>
        <w:numPr>
          <w:ilvl w:val="0"/>
          <w:numId w:val="2"/>
        </w:numPr>
        <w:spacing w:before="40" w:after="40" w:line="280"/>
      </w:pPr>
      <w:r>
        <w:rPr>
          <w:rFonts w:ascii="Arial" w:cs="Arial" w:eastAsia="Arial" w:hAnsi="Arial"/>
          <w:b/>
          <w:bCs/>
          <w:color w:val="1A1A1A"/>
          <w:sz w:val="22"/>
          <w:szCs w:val="22"/>
        </w:rPr>
        <w:t xml:space="preserve">Medical professionals</w:t>
      </w:r>
      <w:r>
        <w:rPr>
          <w:rFonts w:ascii="Arial" w:cs="Arial" w:eastAsia="Arial" w:hAnsi="Arial"/>
          <w:color w:val="1A1A1A"/>
          <w:sz w:val="22"/>
          <w:szCs w:val="22"/>
        </w:rPr>
        <w:t xml:space="preserve"> to curate and validate the field medicine and pharmacology knowledge bases, including traditional and complementary approaches alongside conventional protocols.</w:t>
      </w:r>
    </w:p>
    <w:p>
      <w:pPr>
        <w:pStyle w:val="ListParagraph"/>
        <w:numPr>
          <w:ilvl w:val="0"/>
          <w:numId w:val="2"/>
        </w:numPr>
        <w:spacing w:before="40" w:after="40" w:line="280"/>
      </w:pPr>
      <w:r>
        <w:rPr>
          <w:rFonts w:ascii="Arial" w:cs="Arial" w:eastAsia="Arial" w:hAnsi="Arial"/>
          <w:b/>
          <w:bCs/>
          <w:color w:val="1A1A1A"/>
          <w:sz w:val="22"/>
          <w:szCs w:val="22"/>
        </w:rPr>
        <w:t xml:space="preserve">Ethnobotanists and traditional knowledge holders</w:t>
      </w:r>
      <w:r>
        <w:rPr>
          <w:rFonts w:ascii="Arial" w:cs="Arial" w:eastAsia="Arial" w:hAnsi="Arial"/>
          <w:color w:val="1A1A1A"/>
          <w:sz w:val="22"/>
          <w:szCs w:val="22"/>
        </w:rPr>
        <w:t xml:space="preserve"> to contribute regional plant knowledge with appropriate cultural sovereignty protections and attribution frameworks.</w:t>
      </w:r>
    </w:p>
    <w:p>
      <w:pPr>
        <w:pStyle w:val="ListParagraph"/>
        <w:numPr>
          <w:ilvl w:val="0"/>
          <w:numId w:val="2"/>
        </w:numPr>
        <w:spacing w:before="40" w:after="40" w:line="280"/>
      </w:pPr>
      <w:r>
        <w:rPr>
          <w:rFonts w:ascii="Arial" w:cs="Arial" w:eastAsia="Arial" w:hAnsi="Arial"/>
          <w:b/>
          <w:bCs/>
          <w:color w:val="1A1A1A"/>
          <w:sz w:val="22"/>
          <w:szCs w:val="22"/>
        </w:rPr>
        <w:t xml:space="preserve">Humanitarian organizations</w:t>
      </w:r>
      <w:r>
        <w:rPr>
          <w:rFonts w:ascii="Arial" w:cs="Arial" w:eastAsia="Arial" w:hAnsi="Arial"/>
          <w:color w:val="1A1A1A"/>
          <w:sz w:val="22"/>
          <w:szCs w:val="22"/>
        </w:rPr>
        <w:t xml:space="preserve"> to field-test prototypes and provide feedback from the environments where this device is most needed.</w:t>
      </w:r>
    </w:p>
    <w:p>
      <w:pPr>
        <w:pStyle w:val="ListParagraph"/>
        <w:numPr>
          <w:ilvl w:val="0"/>
          <w:numId w:val="2"/>
        </w:numPr>
        <w:spacing w:before="40" w:after="40" w:line="280"/>
      </w:pPr>
      <w:r>
        <w:rPr>
          <w:rFonts w:ascii="Arial" w:cs="Arial" w:eastAsia="Arial" w:hAnsi="Arial"/>
          <w:b/>
          <w:bCs/>
          <w:color w:val="1A1A1A"/>
          <w:sz w:val="22"/>
          <w:szCs w:val="22"/>
        </w:rPr>
        <w:t xml:space="preserve">Educators</w:t>
      </w:r>
      <w:r>
        <w:rPr>
          <w:rFonts w:ascii="Arial" w:cs="Arial" w:eastAsia="Arial" w:hAnsi="Arial"/>
          <w:color w:val="1A1A1A"/>
          <w:sz w:val="22"/>
          <w:szCs w:val="22"/>
        </w:rPr>
        <w:t xml:space="preserve"> to develop curriculum around building Prometheus devices as cross-domain STEM education projects.</w:t>
      </w:r>
    </w:p>
    <w:p>
      <w:pPr>
        <w:pStyle w:val="ListParagraph"/>
        <w:numPr>
          <w:ilvl w:val="0"/>
          <w:numId w:val="2"/>
        </w:numPr>
        <w:spacing w:before="40" w:after="40" w:line="280"/>
      </w:pPr>
      <w:r>
        <w:rPr>
          <w:rFonts w:ascii="Arial" w:cs="Arial" w:eastAsia="Arial" w:hAnsi="Arial"/>
          <w:b/>
          <w:bCs/>
          <w:color w:val="1A1A1A"/>
          <w:sz w:val="22"/>
          <w:szCs w:val="22"/>
        </w:rPr>
        <w:t xml:space="preserve">Legal experts</w:t>
      </w:r>
      <w:r>
        <w:rPr>
          <w:rFonts w:ascii="Arial" w:cs="Arial" w:eastAsia="Arial" w:hAnsi="Arial"/>
          <w:color w:val="1A1A1A"/>
          <w:sz w:val="22"/>
          <w:szCs w:val="22"/>
        </w:rPr>
        <w:t xml:space="preserve"> to advise on licensing frameworks that ensure the project remains permanently open and community-owned.</w:t>
      </w:r>
    </w:p>
    <w:p>
      <w:pPr>
        <w:pStyle w:val="ListParagraph"/>
        <w:numPr>
          <w:ilvl w:val="0"/>
          <w:numId w:val="2"/>
        </w:numPr>
        <w:spacing w:before="40" w:after="40" w:line="280"/>
      </w:pPr>
      <w:r>
        <w:rPr>
          <w:rFonts w:ascii="Arial" w:cs="Arial" w:eastAsia="Arial" w:hAnsi="Arial"/>
          <w:b/>
          <w:bCs/>
          <w:color w:val="1A1A1A"/>
          <w:sz w:val="22"/>
          <w:szCs w:val="22"/>
        </w:rPr>
        <w:t xml:space="preserve">Translators</w:t>
      </w:r>
      <w:r>
        <w:rPr>
          <w:rFonts w:ascii="Arial" w:cs="Arial" w:eastAsia="Arial" w:hAnsi="Arial"/>
          <w:color w:val="1A1A1A"/>
          <w:sz w:val="22"/>
          <w:szCs w:val="22"/>
        </w:rPr>
        <w:t xml:space="preserve"> to make the knowledge bases accessible in every language where they are needed.</w:t>
      </w:r>
    </w:p>
    <w:p>
      <w:pPr>
        <w:pStyle w:val="ListParagraph"/>
        <w:numPr>
          <w:ilvl w:val="0"/>
          <w:numId w:val="2"/>
        </w:numPr>
        <w:spacing w:before="40" w:after="40" w:line="280"/>
      </w:pPr>
      <w:r>
        <w:rPr>
          <w:rFonts w:ascii="Arial" w:cs="Arial" w:eastAsia="Arial" w:hAnsi="Arial"/>
          <w:b/>
          <w:bCs/>
          <w:color w:val="1A1A1A"/>
          <w:sz w:val="22"/>
          <w:szCs w:val="22"/>
        </w:rPr>
        <w:t xml:space="preserve">Anyone with domain expertise</w:t>
      </w:r>
      <w:r>
        <w:rPr>
          <w:rFonts w:ascii="Arial" w:cs="Arial" w:eastAsia="Arial" w:hAnsi="Arial"/>
          <w:color w:val="1A1A1A"/>
          <w:sz w:val="22"/>
          <w:szCs w:val="22"/>
        </w:rPr>
        <w:t xml:space="preserve"> to contribute knowledge, test the system, find its failures, and make it better.</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1"/>
              <w:left w:val="single" w:color="2E8B8B" w:sz="12"/>
              <w:bottom w:val="single" w:color="2E8B8B" w:sz="1"/>
              <w:right w:val="single" w:color="2E8B8B" w:sz="1"/>
            </w:tcBorders>
            <w:shd w:fill="EAF4F4" w:val="clear"/>
            <w:tcMar>
              <w:top w:type="dxa" w:w="120"/>
              <w:left w:type="dxa" w:w="200"/>
              <w:bottom w:type="dxa" w:w="120"/>
              <w:right w:type="dxa" w:w="200"/>
            </w:tcMar>
          </w:tcPr>
          <w:p>
            <w:pPr>
              <w:spacing w:after="60"/>
            </w:pPr>
            <w:r>
              <w:rPr>
                <w:rFonts w:ascii="Arial" w:cs="Arial" w:eastAsia="Arial" w:hAnsi="Arial"/>
                <w:b/>
                <w:bCs/>
                <w:color w:val="2E8B8B"/>
                <w:sz w:val="22"/>
                <w:szCs w:val="22"/>
              </w:rPr>
              <w:t xml:space="preserve">The Bottleneck Is Breaking</w:t>
            </w:r>
          </w:p>
          <w:p>
            <w:pPr>
              <w:spacing w:before="40"/>
            </w:pPr>
            <w:r>
              <w:rPr>
                <w:rFonts w:ascii="Arial" w:cs="Arial" w:eastAsia="Arial" w:hAnsi="Arial"/>
                <w:color w:val="4A5568"/>
                <w:sz w:val="20"/>
                <w:szCs w:val="20"/>
              </w:rPr>
              <w:t xml:space="preserve">The hardware exists. The models exist. The knowledge exists. The open-source tools exist. What has been missing is a clear vision of how they connect — and someone willing to release that vision without a monetization strategy attached. This document is that release. The fire is free. Take it. Build with it. Give it away.</w:t>
            </w:r>
          </w:p>
        </w:tc>
      </w:tr>
    </w:tbl>
    <w:p>
      <w:pPr>
        <w:pStyle w:val="Heading1"/>
        <w:spacing w:before="360" w:after="200"/>
      </w:pPr>
      <w:r>
        <w:rPr>
          <w:rFonts w:ascii="Arial" w:cs="Arial" w:eastAsia="Arial" w:hAnsi="Arial"/>
          <w:b/>
          <w:bCs/>
          <w:color w:val="1B2A4A"/>
          <w:sz w:val="32"/>
          <w:szCs w:val="32"/>
        </w:rPr>
        <w:t xml:space="preserve">XI. A Note on Nature</w:t>
      </w:r>
    </w:p>
    <w:p>
      <w:pPr>
        <w:spacing w:before="60" w:after="100" w:line="300"/>
      </w:pPr>
      <w:r>
        <w:rPr>
          <w:rFonts w:ascii="Arial" w:cs="Arial" w:eastAsia="Arial" w:hAnsi="Arial"/>
          <w:color w:val="1A1A1A"/>
          <w:sz w:val="22"/>
          <w:szCs w:val="22"/>
        </w:rPr>
        <w:t xml:space="preserve">It is worth observing that the most sophisticated interventions described in this document are reverse-engineered from systems that nature has already solved. The human immune system runs its own version of the Byzantine Fire protocol every day. Ecosystems maintain resilience through the same principles of distributed, redundant, locally-adapted intelligence that this architecture embodies.</w:t>
      </w:r>
    </w:p>
    <w:p>
      <w:pPr>
        <w:spacing w:before="60" w:after="100" w:line="300"/>
      </w:pPr>
      <w:r>
        <w:rPr>
          <w:rFonts w:ascii="Arial" w:cs="Arial" w:eastAsia="Arial" w:hAnsi="Arial"/>
          <w:color w:val="1A1A1A"/>
          <w:sz w:val="22"/>
          <w:szCs w:val="22"/>
        </w:rPr>
        <w:t xml:space="preserve">The Egyptians packed wounds with honey four thousand years ago. We spent centuries calling it primitive. Modern science validated the mechanism. The knowledge was always there. The bottleneck was never intelligence or capability — it was access, synthesis, and the institutional humility to recognize that elegant solutions often precede the institutions that claim to own them.</w:t>
      </w:r>
    </w:p>
    <w:p>
      <w:pPr>
        <w:spacing w:before="60" w:after="100" w:line="300"/>
      </w:pPr>
      <w:r>
        <w:rPr>
          <w:rFonts w:ascii="Arial" w:cs="Arial" w:eastAsia="Arial" w:hAnsi="Arial"/>
          <w:color w:val="1A1A1A"/>
          <w:sz w:val="22"/>
          <w:szCs w:val="22"/>
        </w:rPr>
        <w:t xml:space="preserve">Project Prometheus is, at its core, an act of returning knowledge to the commons. Not creating new knowledge — but making existing knowledge accessible, synthesizable, and actionable for anyone, anywhere, regardless of their proximity to a university, a hospital, or a cell tower.</w:t>
      </w:r>
    </w:p>
    <w:p>
      <w:pPr>
        <w:spacing w:before="100" w:after="100"/>
      </w:pPr>
    </w:p>
    <w:p>
      <w:pPr>
        <w:spacing w:before="60" w:after="100" w:line="300"/>
      </w:pPr>
      <w:r>
        <w:rPr>
          <w:rFonts w:ascii="Arial" w:cs="Arial" w:eastAsia="Arial" w:hAnsi="Arial"/>
          <w:b/>
          <w:bCs/>
          <w:i/>
          <w:iCs/>
          <w:color w:val="2E8B8B"/>
          <w:sz w:val="26"/>
          <w:szCs w:val="26"/>
        </w:rPr>
        <w:t xml:space="preserve">The fire is yours. Pass it on.</w:t>
      </w:r>
    </w:p>
    <w:p>
      <w:pPr>
        <w:spacing w:before="200" w:after="200"/>
      </w:pPr>
    </w:p>
    <w:p>
      <w:pPr>
        <w:pBdr>
          <w:bottom w:val="single" w:color="D5DDE5" w:sz="4" w:space="1"/>
        </w:pBdr>
        <w:spacing w:before="200" w:after="200"/>
      </w:pPr>
    </w:p>
    <w:p>
      <w:pPr>
        <w:spacing w:before="100" w:after="100"/>
      </w:pPr>
    </w:p>
    <w:p>
      <w:pPr>
        <w:pStyle w:val="Heading1"/>
        <w:spacing w:before="360" w:after="200"/>
      </w:pPr>
      <w:r>
        <w:rPr>
          <w:rFonts w:ascii="Arial" w:cs="Arial" w:eastAsia="Arial" w:hAnsi="Arial"/>
          <w:b/>
          <w:bCs/>
          <w:color w:val="1B2A4A"/>
          <w:sz w:val="32"/>
          <w:szCs w:val="32"/>
        </w:rPr>
        <w:t xml:space="preserve">Appendix A: Estimated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Cost (USD)</w:t>
            </w:r>
          </w:p>
        </w:tc>
      </w:tr>
      <w:tr>
        <w:tc>
          <w:tcPr>
            <w:tcW w:type="dxa" w:w="3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Raspberry Pi 5</w:t>
            </w:r>
          </w:p>
        </w:tc>
        <w:tc>
          <w:tcPr>
            <w:tcW w:type="dxa" w:w="28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8GB RAM</w:t>
            </w:r>
          </w:p>
        </w:tc>
        <w:tc>
          <w:tcPr>
            <w:tcW w:type="dxa" w:w="28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$80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NVMe SSD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1TB, M.2 2230/2242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$60–$80</w:t>
            </w:r>
          </w:p>
        </w:tc>
      </w:tr>
      <w:tr>
        <w:tc>
          <w:tcPr>
            <w:tcW w:type="dxa" w:w="3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M.2 HAT / Base Board</w:t>
            </w:r>
          </w:p>
        </w:tc>
        <w:tc>
          <w:tcPr>
            <w:tcW w:type="dxa" w:w="28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Official Pi M.2 HAT+</w:t>
            </w:r>
          </w:p>
        </w:tc>
        <w:tc>
          <w:tcPr>
            <w:tcW w:type="dxa" w:w="28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$12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HAT+ 2 (optional)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Hailo-10H, 8GB onboard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$130</w:t>
            </w:r>
          </w:p>
        </w:tc>
      </w:tr>
      <w:tr>
        <w:tc>
          <w:tcPr>
            <w:tcW w:type="dxa" w:w="3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Battery Pack</w:t>
            </w:r>
          </w:p>
        </w:tc>
        <w:tc>
          <w:tcPr>
            <w:tcW w:type="dxa" w:w="28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PiSugar 3 Plus, 5000mAh</w:t>
            </w:r>
          </w:p>
        </w:tc>
        <w:tc>
          <w:tcPr>
            <w:tcW w:type="dxa" w:w="28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$40–$50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Solar Panel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20W portable, foldable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$25–$40</w:t>
            </w:r>
          </w:p>
        </w:tc>
      </w:tr>
      <w:tr>
        <w:tc>
          <w:tcPr>
            <w:tcW w:type="dxa" w:w="3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Enclosure + Cooling</w:t>
            </w:r>
          </w:p>
        </w:tc>
        <w:tc>
          <w:tcPr>
            <w:tcW w:type="dxa" w:w="28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Ruggedized case, active fan</w:t>
            </w:r>
          </w:p>
        </w:tc>
        <w:tc>
          <w:tcPr>
            <w:tcW w:type="dxa" w:w="28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$15–$25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Faraday Pouch</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Signal/EMP blocking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$10–$20</w:t>
            </w:r>
          </w:p>
        </w:tc>
      </w:tr>
      <w:tr>
        <w:tc>
          <w:tcPr>
            <w:tcW w:type="dxa" w:w="3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MicroSD Card (backup OS)</w:t>
            </w:r>
          </w:p>
        </w:tc>
        <w:tc>
          <w:tcPr>
            <w:tcW w:type="dxa" w:w="28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64GB, Class 10</w:t>
            </w:r>
          </w:p>
        </w:tc>
        <w:tc>
          <w:tcPr>
            <w:tcW w:type="dxa" w:w="288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1A1A1A"/>
                <w:sz w:val="20"/>
                <w:szCs w:val="20"/>
              </w:rPr>
              <w:t xml:space="preserve">$8–$12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LoRa Module (optional)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SX1262 HAT for mesh</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$20–$35</w:t>
            </w:r>
          </w:p>
        </w:tc>
      </w:tr>
    </w:tbl>
    <w:p>
      <w:pPr>
        <w:spacing w:before="60" w:after="60"/>
      </w:pPr>
    </w:p>
    <w:p>
      <w:pPr>
        <w:spacing w:before="60" w:after="100" w:line="300"/>
      </w:pPr>
      <w:r>
        <w:rPr>
          <w:rFonts w:ascii="Arial" w:cs="Arial" w:eastAsia="Arial" w:hAnsi="Arial"/>
          <w:b/>
          <w:bCs/>
          <w:color w:val="1A1A1A"/>
          <w:sz w:val="22"/>
          <w:szCs w:val="22"/>
        </w:rPr>
        <w:t xml:space="preserve">Base configuration: ~$200  |  Full configuration with AI acceleration and mesh: ~$410</w:t>
      </w:r>
    </w:p>
    <w:p>
      <w:pPr>
        <w:spacing w:before="200" w:after="200"/>
      </w:pPr>
    </w:p>
    <w:p>
      <w:pPr>
        <w:pStyle w:val="Heading1"/>
        <w:spacing w:before="360" w:after="200"/>
      </w:pPr>
      <w:r>
        <w:rPr>
          <w:rFonts w:ascii="Arial" w:cs="Arial" w:eastAsia="Arial" w:hAnsi="Arial"/>
          <w:b/>
          <w:bCs/>
          <w:color w:val="1B2A4A"/>
          <w:sz w:val="32"/>
          <w:szCs w:val="32"/>
        </w:rPr>
        <w:t xml:space="preserve">Appendix B: Licensing Framework</w:t>
      </w:r>
    </w:p>
    <w:p>
      <w:pPr>
        <w:spacing w:before="60" w:after="100" w:line="300"/>
      </w:pPr>
      <w:r>
        <w:rPr>
          <w:rFonts w:ascii="Arial" w:cs="Arial" w:eastAsia="Arial" w:hAnsi="Arial"/>
          <w:color w:val="1A1A1A"/>
          <w:sz w:val="22"/>
          <w:szCs w:val="22"/>
        </w:rPr>
        <w:t xml:space="preserve">Project Prometheus is released under a copyleft open-source framework to ensure that all derivatives remain freely available. The recommended licensing structure is:</w:t>
      </w:r>
    </w:p>
    <w:p>
      <w:pPr>
        <w:pStyle w:val="ListParagraph"/>
        <w:numPr>
          <w:ilvl w:val="0"/>
          <w:numId w:val="2"/>
        </w:numPr>
        <w:spacing w:before="40" w:after="40" w:line="280"/>
      </w:pPr>
      <w:r>
        <w:rPr>
          <w:rFonts w:ascii="Arial" w:cs="Arial" w:eastAsia="Arial" w:hAnsi="Arial"/>
          <w:b/>
          <w:bCs/>
          <w:color w:val="1A1A1A"/>
          <w:sz w:val="22"/>
          <w:szCs w:val="22"/>
        </w:rPr>
        <w:t xml:space="preserve">Software: </w:t>
      </w:r>
      <w:r>
        <w:rPr>
          <w:rFonts w:ascii="Arial" w:cs="Arial" w:eastAsia="Arial" w:hAnsi="Arial"/>
          <w:color w:val="1A1A1A"/>
          <w:sz w:val="22"/>
          <w:szCs w:val="22"/>
        </w:rPr>
        <w:t xml:space="preserve">GNU General Public License v3 (GPL-3.0) — ensures all modifications remain open-source.</w:t>
      </w:r>
    </w:p>
    <w:p>
      <w:pPr>
        <w:pStyle w:val="ListParagraph"/>
        <w:numPr>
          <w:ilvl w:val="0"/>
          <w:numId w:val="2"/>
        </w:numPr>
        <w:spacing w:before="40" w:after="40" w:line="280"/>
      </w:pPr>
      <w:r>
        <w:rPr>
          <w:rFonts w:ascii="Arial" w:cs="Arial" w:eastAsia="Arial" w:hAnsi="Arial"/>
          <w:b/>
          <w:bCs/>
          <w:color w:val="1A1A1A"/>
          <w:sz w:val="22"/>
          <w:szCs w:val="22"/>
        </w:rPr>
        <w:t xml:space="preserve">Hardware designs: </w:t>
      </w:r>
      <w:r>
        <w:rPr>
          <w:rFonts w:ascii="Arial" w:cs="Arial" w:eastAsia="Arial" w:hAnsi="Arial"/>
          <w:color w:val="1A1A1A"/>
          <w:sz w:val="22"/>
          <w:szCs w:val="22"/>
        </w:rPr>
        <w:t xml:space="preserve">CERN Open Hardware License v2 (CERN-OHL-S) — ensures hardware schematics remain freely available.</w:t>
      </w:r>
    </w:p>
    <w:p>
      <w:pPr>
        <w:pStyle w:val="ListParagraph"/>
        <w:numPr>
          <w:ilvl w:val="0"/>
          <w:numId w:val="2"/>
        </w:numPr>
        <w:spacing w:before="40" w:after="40" w:line="280"/>
      </w:pPr>
      <w:r>
        <w:rPr>
          <w:rFonts w:ascii="Arial" w:cs="Arial" w:eastAsia="Arial" w:hAnsi="Arial"/>
          <w:b/>
          <w:bCs/>
          <w:color w:val="1A1A1A"/>
          <w:sz w:val="22"/>
          <w:szCs w:val="22"/>
        </w:rPr>
        <w:t xml:space="preserve">Knowledge bases: </w:t>
      </w:r>
      <w:r>
        <w:rPr>
          <w:rFonts w:ascii="Arial" w:cs="Arial" w:eastAsia="Arial" w:hAnsi="Arial"/>
          <w:color w:val="1A1A1A"/>
          <w:sz w:val="22"/>
          <w:szCs w:val="22"/>
        </w:rPr>
        <w:t xml:space="preserve">Creative Commons Attribution-ShareAlike 4.0 (CC BY-SA 4.0) — ensures knowledge can be shared, adapted, and regionalized while remaining in the commons.</w:t>
      </w:r>
    </w:p>
    <w:p>
      <w:pPr>
        <w:pStyle w:val="ListParagraph"/>
        <w:numPr>
          <w:ilvl w:val="0"/>
          <w:numId w:val="2"/>
        </w:numPr>
        <w:spacing w:before="40" w:after="40" w:line="280"/>
      </w:pPr>
      <w:r>
        <w:rPr>
          <w:rFonts w:ascii="Arial" w:cs="Arial" w:eastAsia="Arial" w:hAnsi="Arial"/>
          <w:b/>
          <w:bCs/>
          <w:color w:val="1A1A1A"/>
          <w:sz w:val="22"/>
          <w:szCs w:val="22"/>
        </w:rPr>
        <w:t xml:space="preserve">Traditional/Indigenous knowledge: </w:t>
      </w:r>
      <w:r>
        <w:rPr>
          <w:rFonts w:ascii="Arial" w:cs="Arial" w:eastAsia="Arial" w:hAnsi="Arial"/>
          <w:color w:val="1A1A1A"/>
          <w:sz w:val="22"/>
          <w:szCs w:val="22"/>
        </w:rPr>
        <w:t xml:space="preserve">Subject to the sovereignty and consent frameworks of the contributing communities. No traditional knowledge is included without explicit, informed, community-level consent and attribution.</w:t>
      </w:r>
    </w:p>
    <w:p>
      <w:pPr>
        <w:spacing w:before="100" w:after="100"/>
      </w:pPr>
    </w:p>
    <w:p>
      <w:pPr>
        <w:spacing w:before="60" w:after="100" w:line="300"/>
      </w:pPr>
      <w:r>
        <w:rPr>
          <w:rFonts w:ascii="Arial" w:cs="Arial" w:eastAsia="Arial" w:hAnsi="Arial"/>
          <w:color w:val="1A1A1A"/>
          <w:sz w:val="22"/>
          <w:szCs w:val="22"/>
        </w:rPr>
        <w:t xml:space="preserve">This licensing structure is specifically chosen to prevent any entity from enclosing the commons — from taking what is freely given and locking it behind a paywall, a subscription, or a patent.</w:t>
      </w:r>
    </w:p>
    <w:p>
      <w:pPr>
        <w:spacing w:before="200" w:after="200"/>
      </w:pPr>
    </w:p>
    <w:p>
      <w:pPr>
        <w:pBdr>
          <w:bottom w:val="single" w:color="D5DDE5" w:sz="4" w:space="1"/>
        </w:pBdr>
        <w:spacing w:before="200" w:after="200"/>
      </w:pPr>
    </w:p>
    <w:p>
      <w:pPr>
        <w:spacing w:before="100" w:after="100"/>
      </w:pPr>
    </w:p>
    <w:p>
      <w:pPr>
        <w:spacing w:after="60"/>
        <w:jc w:val="center"/>
      </w:pPr>
      <w:r>
        <w:rPr>
          <w:rFonts w:ascii="Arial" w:cs="Arial" w:eastAsia="Arial" w:hAnsi="Arial"/>
          <w:b/>
          <w:bCs/>
          <w:color w:val="1B2A4A"/>
          <w:sz w:val="22"/>
          <w:szCs w:val="22"/>
        </w:rPr>
        <w:t xml:space="preserve">Project Prometheus  —  The Decentralized Field Brain</w:t>
      </w:r>
    </w:p>
    <w:p>
      <w:pPr>
        <w:spacing w:after="60"/>
        <w:jc w:val="center"/>
      </w:pPr>
      <w:r>
        <w:rPr>
          <w:rFonts w:ascii="Arial" w:cs="Arial" w:eastAsia="Arial" w:hAnsi="Arial"/>
          <w:color w:val="4A5568"/>
          <w:sz w:val="18"/>
          <w:szCs w:val="18"/>
        </w:rPr>
        <w:t xml:space="preserve">Version 1.0  —  March 2026</w:t>
      </w:r>
    </w:p>
    <w:p>
      <w:pPr>
        <w:spacing w:after="60"/>
        <w:jc w:val="center"/>
      </w:pPr>
      <w:r>
        <w:rPr>
          <w:rFonts w:ascii="Arial" w:cs="Arial" w:eastAsia="Arial" w:hAnsi="Arial"/>
          <w:i/>
          <w:iCs/>
          <w:color w:val="4A5568"/>
          <w:sz w:val="18"/>
          <w:szCs w:val="18"/>
        </w:rPr>
        <w:t xml:space="preserve">Released into the public domain. No rights reserved.</w:t>
      </w:r>
    </w:p>
    <w:p>
      <w:pPr>
        <w:jc w:val="center"/>
      </w:pPr>
      <w:r>
        <w:rPr>
          <w:rFonts w:ascii="Arial" w:cs="Arial" w:eastAsia="Arial" w:hAnsi="Arial"/>
          <w:i/>
          <w:iCs/>
          <w:color w:val="2E8B8B"/>
          <w:sz w:val="18"/>
          <w:szCs w:val="18"/>
        </w:rPr>
        <w:t xml:space="preserve">Built between patients, over lunch, with fire in mind.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E5" w:sz="2" w:space="4"/>
      </w:pBd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568"/>
        <w:sz w:val="16"/>
        <w:szCs w:val="16"/>
      </w:rPr>
      <w:t xml:space="preserve">Project Prometheus  —  The Decentralized Field Brain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B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2026-03-11T17:56:24.171Z</dcterms:created>
  <dcterms:modified xsi:type="dcterms:W3CDTF">2026-03-11T17:56:24.172Z</dcterms:modified>
</cp:coreProperties>
</file>

<file path=docProps/custom.xml><?xml version="1.0" encoding="utf-8"?>
<Properties xmlns="http://schemas.openxmlformats.org/officeDocument/2006/custom-properties" xmlns:vt="http://schemas.openxmlformats.org/officeDocument/2006/docPropsVTypes"/>
</file>