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0"/>
      </w:pPr>
    </w:p>
    <w:p>
      <w:pPr>
        <w:spacing w:after="80"/>
        <w:jc w:val="center"/>
      </w:pPr>
      <w:r>
        <w:rPr>
          <w:rFonts w:ascii="Arial" w:cs="Arial" w:eastAsia="Arial" w:hAnsi="Arial"/>
          <w:b/>
          <w:bCs/>
          <w:color w:val="8259EF"/>
          <w:spacing w:val="200"/>
          <w:sz w:val="22"/>
          <w:szCs w:val="22"/>
        </w:rPr>
        <w:t xml:space="preserve">HEDERA HELLO FUTURE APEX HACKATHON 2026</w:t>
      </w:r>
    </w:p>
    <w:p>
      <w:pPr>
        <w:spacing w:before="200" w:after="200"/>
      </w:pPr>
    </w:p>
    <w:p>
      <w:pPr>
        <w:spacing w:after="100"/>
        <w:jc w:val="center"/>
      </w:pPr>
      <w:r>
        <w:rPr>
          <w:rFonts w:ascii="Arial" w:cs="Arial" w:eastAsia="Arial" w:hAnsi="Arial"/>
          <w:b/>
          <w:bCs/>
          <w:color w:val="8259EF"/>
          <w:spacing w:val="300"/>
          <w:sz w:val="48"/>
          <w:szCs w:val="48"/>
        </w:rPr>
        <w:t xml:space="preserve">PROJECT</w:t>
      </w:r>
    </w:p>
    <w:p>
      <w:pPr>
        <w:spacing w:after="200"/>
        <w:jc w:val="center"/>
      </w:pPr>
      <w:r>
        <w:rPr>
          <w:rFonts w:ascii="Arial" w:cs="Arial" w:eastAsia="Arial" w:hAnsi="Arial"/>
          <w:b/>
          <w:bCs/>
          <w:color w:val="1B2A4A"/>
          <w:spacing w:val="200"/>
          <w:sz w:val="64"/>
          <w:szCs w:val="64"/>
        </w:rPr>
        <w:t xml:space="preserve">PROMETHEUS</w:t>
      </w:r>
    </w:p>
    <w:p>
      <w:pPr>
        <w:pBdr>
          <w:top w:val="single" w:color="8259EF" w:sz="3" w:space="8"/>
          <w:bottom w:val="single" w:color="8259EF" w:sz="3" w:space="8"/>
        </w:pBdr>
        <w:spacing w:before="200" w:after="200"/>
        <w:jc w:val="center"/>
      </w:pPr>
      <w:r>
        <w:rPr>
          <w:rFonts w:ascii="Arial" w:cs="Arial" w:eastAsia="Arial" w:hAnsi="Arial"/>
          <w:color w:val="4A5568"/>
          <w:sz w:val="28"/>
          <w:szCs w:val="28"/>
        </w:rPr>
        <w:t xml:space="preserve">The Trust Layer for Decentralized Survival Intelligence</w:t>
      </w:r>
    </w:p>
    <w:p>
      <w:pPr>
        <w:spacing w:before="200" w:after="200"/>
      </w:pPr>
    </w:p>
    <w:p>
      <w:pPr>
        <w:spacing w:after="80"/>
        <w:jc w:val="center"/>
      </w:pPr>
      <w:r>
        <w:rPr>
          <w:rFonts w:ascii="Arial" w:cs="Arial" w:eastAsia="Arial" w:hAnsi="Arial"/>
          <w:color w:val="4A5568"/>
          <w:sz w:val="22"/>
          <w:szCs w:val="22"/>
        </w:rPr>
        <w:t xml:space="preserve">Verifiable Knowledge Integrity, Transparent Impact Distribution,</w:t>
      </w:r>
    </w:p>
    <w:p>
      <w:pPr>
        <w:spacing w:after="80"/>
        <w:jc w:val="center"/>
      </w:pPr>
      <w:r>
        <w:rPr>
          <w:rFonts w:ascii="Arial" w:cs="Arial" w:eastAsia="Arial" w:hAnsi="Arial"/>
          <w:color w:val="4A5568"/>
          <w:sz w:val="22"/>
          <w:szCs w:val="22"/>
        </w:rPr>
        <w:t xml:space="preserve">and Community Governance on Hedera</w:t>
      </w:r>
    </w:p>
    <w:p>
      <w:pPr>
        <w:spacing w:before="300" w:after="300"/>
      </w:pPr>
    </w:p>
    <w:p>
      <w:pPr>
        <w:spacing w:after="60"/>
        <w:jc w:val="center"/>
      </w:pPr>
      <w:r>
        <w:rPr>
          <w:rFonts w:ascii="Arial" w:cs="Arial" w:eastAsia="Arial" w:hAnsi="Arial"/>
          <w:b/>
          <w:bCs/>
          <w:color w:val="8259EF"/>
          <w:sz w:val="24"/>
          <w:szCs w:val="24"/>
        </w:rPr>
        <w:t xml:space="preserve">Track: Sustainability</w:t>
      </w:r>
    </w:p>
    <w:p>
      <w:pPr>
        <w:spacing w:after="60"/>
        <w:jc w:val="center"/>
      </w:pPr>
      <w:r>
        <w:rPr>
          <w:rFonts w:ascii="Arial" w:cs="Arial" w:eastAsia="Arial" w:hAnsi="Arial"/>
          <w:color w:val="4A5568"/>
          <w:sz w:val="20"/>
          <w:szCs w:val="20"/>
        </w:rPr>
        <w:t xml:space="preserve">Submission Date: March 2026</w:t>
      </w:r>
    </w:p>
    <w:p>
      <w:pPr>
        <w:spacing w:before="600" w:after="600"/>
      </w:pPr>
    </w:p>
    <w:p>
      <w:pPr>
        <w:jc w:val="center"/>
      </w:pPr>
      <w:r>
        <w:rPr>
          <w:rFonts w:ascii="Arial" w:cs="Arial" w:eastAsia="Arial" w:hAnsi="Arial"/>
          <w:i/>
          <w:iCs/>
          <w:color w:val="4A5568"/>
          <w:sz w:val="20"/>
          <w:szCs w:val="20"/>
        </w:rPr>
        <w:t xml:space="preserve">"Steal fire from the gods. Give it to everyone. Make it unstealable."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9EF" w:sz="1"/>
              <w:left w:val="single" w:color="8259EF" w:sz="12"/>
              <w:bottom w:val="single" w:color="8259EF" w:sz="1"/>
              <w:right w:val="single" w:color="8259EF" w:sz="1"/>
            </w:tcBorders>
            <w:shd w:fill="EDE8FC" w:val="clear"/>
            <w:tcMar>
              <w:top w:type="dxa" w:w="120"/>
              <w:left w:type="dxa" w:w="200"/>
              <w:bottom w:type="dxa" w:w="120"/>
              <w:right w:type="dxa" w:w="200"/>
            </w:tcMar>
          </w:tcPr>
          <w:p>
            <w:pPr>
              <w:spacing w:after="60"/>
            </w:pPr>
            <w:r>
              <w:rPr>
                <w:rFonts w:ascii="Arial" w:cs="Arial" w:eastAsia="Arial" w:hAnsi="Arial"/>
                <w:b/>
                <w:bCs/>
                <w:color w:val="8259EF"/>
                <w:sz w:val="22"/>
                <w:szCs w:val="22"/>
              </w:rPr>
              <w:t xml:space="preserve">The 100-Word Version</w:t>
            </w:r>
          </w:p>
          <w:p>
            <w:pPr>
              <w:spacing w:before="40"/>
            </w:pPr>
            <w:r>
              <w:rPr>
                <w:rFonts w:ascii="Arial" w:cs="Arial" w:eastAsia="Arial" w:hAnsi="Arial"/>
                <w:color w:val="4A5568"/>
                <w:sz w:val="20"/>
                <w:szCs w:val="20"/>
              </w:rPr>
              <w:t xml:space="preserve">Project Prometheus builds the Hedera-based trust layer for a decentralized, offline-first AI field brain — a Raspberry Pi device loaded with cross-domain survival knowledge (medicine, botany, agriculture, engineering, security) that operates without internet. Hedera provides what no centralized system can: immutable verification that knowledge bases are unaltered, transparent tracking of humanitarian fund flows from commercial sales to community deployments, and decentralized governance for knowledge curation decisions. The result is a buy-one-fund-one ecosystem where every device purchase verifiably funds deployment to underserved communities — creating accountable, carbon-efficient humanitarian impact anchored to the most sustainable public ledger available.</w:t>
            </w:r>
          </w:p>
        </w:tc>
      </w:tr>
    </w:tbl>
    <w:p>
      <w:pPr>
        <w:pStyle w:val="Heading1"/>
        <w:spacing w:before="360" w:after="200"/>
      </w:pPr>
      <w:r>
        <w:rPr>
          <w:rFonts w:ascii="Arial" w:cs="Arial" w:eastAsia="Arial" w:hAnsi="Arial"/>
          <w:b/>
          <w:bCs/>
          <w:color w:val="1B2A4A"/>
          <w:sz w:val="32"/>
          <w:szCs w:val="32"/>
        </w:rPr>
        <w:t xml:space="preserve">2. The Problem</w:t>
      </w:r>
    </w:p>
    <w:p>
      <w:pPr>
        <w:pStyle w:val="Heading2"/>
        <w:spacing w:before="280" w:after="160"/>
      </w:pPr>
      <w:r>
        <w:rPr>
          <w:rFonts w:ascii="Arial" w:cs="Arial" w:eastAsia="Arial" w:hAnsi="Arial"/>
          <w:b/>
          <w:bCs/>
          <w:color w:val="8259EF"/>
          <w:sz w:val="26"/>
          <w:szCs w:val="26"/>
        </w:rPr>
        <w:t xml:space="preserve">A. Knowledge Behind Walls</w:t>
      </w:r>
    </w:p>
    <w:p>
      <w:pPr>
        <w:spacing w:before="60" w:after="100" w:line="300"/>
      </w:pPr>
      <w:r>
        <w:rPr>
          <w:rFonts w:ascii="Arial" w:cs="Arial" w:eastAsia="Arial" w:hAnsi="Arial"/>
          <w:color w:val="1A1A1A"/>
          <w:sz w:val="22"/>
          <w:szCs w:val="22"/>
        </w:rPr>
        <w:t xml:space="preserve">Actionable survival, medical, and agricultural knowledge is locked behind paywalled journals, proprietary software, and internet-dependent infrastructure. When connectivity fails — through disaster, conflict, or economic collapse — communities lose access to the knowledge they need most. Existing offline AI solutions are either static document libraries without reasoning capability, or domain-specific models siloed into single fields. No system currently provides cross-domain AI reasoning that operates offline on commodity hardware.</w:t>
      </w:r>
    </w:p>
    <w:p>
      <w:pPr>
        <w:pStyle w:val="Heading2"/>
        <w:spacing w:before="280" w:after="160"/>
      </w:pPr>
      <w:r>
        <w:rPr>
          <w:rFonts w:ascii="Arial" w:cs="Arial" w:eastAsia="Arial" w:hAnsi="Arial"/>
          <w:b/>
          <w:bCs/>
          <w:color w:val="8259EF"/>
          <w:sz w:val="26"/>
          <w:szCs w:val="26"/>
        </w:rPr>
        <w:t xml:space="preserve">B. The Trust Gap in Humanitarian Distribution</w:t>
      </w:r>
    </w:p>
    <w:p>
      <w:pPr>
        <w:spacing w:before="60" w:after="100" w:line="300"/>
      </w:pPr>
      <w:r>
        <w:rPr>
          <w:rFonts w:ascii="Arial" w:cs="Arial" w:eastAsia="Arial" w:hAnsi="Arial"/>
          <w:color w:val="1A1A1A"/>
          <w:sz w:val="22"/>
          <w:szCs w:val="22"/>
        </w:rPr>
        <w:t xml:space="preserve">Even when offline AI devices exist, distributing them through a nonprofit or social enterprise creates trust challenges that current infrastructure cannot solve:</w:t>
      </w:r>
    </w:p>
    <w:p>
      <w:pPr>
        <w:pStyle w:val="ListParagraph"/>
        <w:numPr>
          <w:ilvl w:val="0"/>
          <w:numId w:val="2"/>
        </w:numPr>
        <w:spacing w:before="40" w:after="40" w:line="280"/>
      </w:pPr>
      <w:r>
        <w:rPr>
          <w:rFonts w:ascii="Arial" w:cs="Arial" w:eastAsia="Arial" w:hAnsi="Arial"/>
          <w:b/>
          <w:bCs/>
          <w:color w:val="1A1A1A"/>
          <w:sz w:val="22"/>
          <w:szCs w:val="22"/>
        </w:rPr>
        <w:t xml:space="preserve">Content integrity: </w:t>
      </w:r>
      <w:r>
        <w:rPr>
          <w:rFonts w:ascii="Arial" w:cs="Arial" w:eastAsia="Arial" w:hAnsi="Arial"/>
          <w:color w:val="1A1A1A"/>
          <w:sz w:val="22"/>
          <w:szCs w:val="22"/>
        </w:rPr>
        <w:t xml:space="preserve">How does a community in the field verify that the medical knowledge on their device is the peer-reviewed, validated version — not a corrupted or tampered copy?</w:t>
      </w:r>
    </w:p>
    <w:p>
      <w:pPr>
        <w:pStyle w:val="ListParagraph"/>
        <w:numPr>
          <w:ilvl w:val="0"/>
          <w:numId w:val="2"/>
        </w:numPr>
        <w:spacing w:before="40" w:after="40" w:line="280"/>
      </w:pPr>
      <w:r>
        <w:rPr>
          <w:rFonts w:ascii="Arial" w:cs="Arial" w:eastAsia="Arial" w:hAnsi="Arial"/>
          <w:b/>
          <w:bCs/>
          <w:color w:val="1A1A1A"/>
          <w:sz w:val="22"/>
          <w:szCs w:val="22"/>
        </w:rPr>
        <w:t xml:space="preserve">Fund transparency: </w:t>
      </w:r>
      <w:r>
        <w:rPr>
          <w:rFonts w:ascii="Arial" w:cs="Arial" w:eastAsia="Arial" w:hAnsi="Arial"/>
          <w:color w:val="1A1A1A"/>
          <w:sz w:val="22"/>
          <w:szCs w:val="22"/>
        </w:rPr>
        <w:t xml:space="preserve">When a commercial buyer’s purchase funds a device for an underserved community, how do they verify the funds actually reached their destination?</w:t>
      </w:r>
    </w:p>
    <w:p>
      <w:pPr>
        <w:pStyle w:val="ListParagraph"/>
        <w:numPr>
          <w:ilvl w:val="0"/>
          <w:numId w:val="2"/>
        </w:numPr>
        <w:spacing w:before="40" w:after="40" w:line="280"/>
      </w:pPr>
      <w:r>
        <w:rPr>
          <w:rFonts w:ascii="Arial" w:cs="Arial" w:eastAsia="Arial" w:hAnsi="Arial"/>
          <w:b/>
          <w:bCs/>
          <w:color w:val="1A1A1A"/>
          <w:sz w:val="22"/>
          <w:szCs w:val="22"/>
        </w:rPr>
        <w:t xml:space="preserve">Governance legitimacy: </w:t>
      </w:r>
      <w:r>
        <w:rPr>
          <w:rFonts w:ascii="Arial" w:cs="Arial" w:eastAsia="Arial" w:hAnsi="Arial"/>
          <w:color w:val="1A1A1A"/>
          <w:sz w:val="22"/>
          <w:szCs w:val="22"/>
        </w:rPr>
        <w:t xml:space="preserve">When knowledge bases are updated or regionalized, who decides what gets included — and how is that process made accountable to the communities it serves?</w:t>
      </w:r>
    </w:p>
    <w:p>
      <w:pPr>
        <w:spacing w:before="60" w:after="60"/>
      </w:pPr>
    </w:p>
    <w:p>
      <w:pPr>
        <w:spacing w:before="60" w:after="100" w:line="300"/>
      </w:pPr>
      <w:r>
        <w:rPr>
          <w:rFonts w:ascii="Arial" w:cs="Arial" w:eastAsia="Arial" w:hAnsi="Arial"/>
          <w:color w:val="1A1A1A"/>
          <w:sz w:val="22"/>
          <w:szCs w:val="22"/>
        </w:rPr>
        <w:t xml:space="preserve">These are not hypothetical concerns. They are the exact reasons that buy-one-give-one models have faced criticism for opacity, and the exact reasons that humanitarian aid distribution is plagued by accountability gaps. The trust layer is the missing infrastructure.</w:t>
      </w:r>
    </w:p>
    <w:p>
      <w:pPr>
        <w:pStyle w:val="Heading1"/>
        <w:spacing w:before="360" w:after="200"/>
      </w:pPr>
      <w:r>
        <w:rPr>
          <w:rFonts w:ascii="Arial" w:cs="Arial" w:eastAsia="Arial" w:hAnsi="Arial"/>
          <w:b/>
          <w:bCs/>
          <w:color w:val="1B2A4A"/>
          <w:sz w:val="32"/>
          <w:szCs w:val="32"/>
        </w:rPr>
        <w:t xml:space="preserve">3. The Solution: Prometheus on Hedera</w:t>
      </w:r>
    </w:p>
    <w:p>
      <w:pPr>
        <w:spacing w:before="60" w:after="100" w:line="300"/>
      </w:pPr>
      <w:r>
        <w:rPr>
          <w:rFonts w:ascii="Arial" w:cs="Arial" w:eastAsia="Arial" w:hAnsi="Arial"/>
          <w:color w:val="1A1A1A"/>
          <w:sz w:val="22"/>
          <w:szCs w:val="22"/>
        </w:rPr>
        <w:t xml:space="preserve">Project Prometheus uses three Hedera network services to create a verifiable trust layer for the entire lifecycle of a decentralized survival intelligence device:</w:t>
      </w:r>
    </w:p>
    <w:p>
      <w:pPr>
        <w:pStyle w:val="Heading2"/>
        <w:spacing w:before="280" w:after="160"/>
      </w:pPr>
      <w:r>
        <w:rPr>
          <w:rFonts w:ascii="Arial" w:cs="Arial" w:eastAsia="Arial" w:hAnsi="Arial"/>
          <w:b/>
          <w:bCs/>
          <w:color w:val="8259EF"/>
          <w:sz w:val="26"/>
          <w:szCs w:val="26"/>
        </w:rPr>
        <w:t xml:space="preserve">A. Knowledge Base Integrity — Hedera Consensus Service (HCS)</w:t>
      </w:r>
    </w:p>
    <w:p>
      <w:pPr>
        <w:spacing w:before="60" w:after="100" w:line="300"/>
      </w:pPr>
      <w:r>
        <w:rPr>
          <w:rFonts w:ascii="Arial" w:cs="Arial" w:eastAsia="Arial" w:hAnsi="Arial"/>
          <w:color w:val="1A1A1A"/>
          <w:sz w:val="22"/>
          <w:szCs w:val="22"/>
        </w:rPr>
        <w:t xml:space="preserve">Every curated knowledge base (medical protocols, ethnobotanical databases, field guides) is hashed and its fingerprint published to HCS at the time of curation and peer review. When a device is assembled — either by the nonprofit or by a community builder using open-source instructions — the knowledge bases on the device can be verified against the immutable HCS record.</w:t>
      </w:r>
    </w:p>
    <w:p>
      <w:pPr>
        <w:pStyle w:val="ListParagraph"/>
        <w:numPr>
          <w:ilvl w:val="0"/>
          <w:numId w:val="2"/>
        </w:numPr>
        <w:spacing w:before="40" w:after="40" w:line="280"/>
      </w:pPr>
      <w:r>
        <w:rPr>
          <w:rFonts w:ascii="Arial" w:cs="Arial" w:eastAsia="Arial" w:hAnsi="Arial"/>
          <w:b/>
          <w:bCs/>
          <w:color w:val="1A1A1A"/>
          <w:sz w:val="22"/>
          <w:szCs w:val="22"/>
        </w:rPr>
        <w:t xml:space="preserve">Verification flow: </w:t>
      </w:r>
      <w:r>
        <w:rPr>
          <w:rFonts w:ascii="Arial" w:cs="Arial" w:eastAsia="Arial" w:hAnsi="Arial"/>
          <w:color w:val="1A1A1A"/>
          <w:sz w:val="22"/>
          <w:szCs w:val="22"/>
        </w:rPr>
        <w:t xml:space="preserve">Device runs a local hash of its knowledge bases → compares against the HCS-anchored hash via Mirror Node query (when connectivity is available) → returns a trust score indicating whether content is unmodified, outdated, or potentially tampered with.</w:t>
      </w:r>
    </w:p>
    <w:p>
      <w:pPr>
        <w:pStyle w:val="ListParagraph"/>
        <w:numPr>
          <w:ilvl w:val="0"/>
          <w:numId w:val="2"/>
        </w:numPr>
        <w:spacing w:before="40" w:after="40" w:line="280"/>
      </w:pPr>
      <w:r>
        <w:rPr>
          <w:rFonts w:ascii="Arial" w:cs="Arial" w:eastAsia="Arial" w:hAnsi="Arial"/>
          <w:b/>
          <w:bCs/>
          <w:color w:val="1A1A1A"/>
          <w:sz w:val="22"/>
          <w:szCs w:val="22"/>
        </w:rPr>
        <w:t xml:space="preserve">Update trail: </w:t>
      </w:r>
      <w:r>
        <w:rPr>
          <w:rFonts w:ascii="Arial" w:cs="Arial" w:eastAsia="Arial" w:hAnsi="Arial"/>
          <w:color w:val="1A1A1A"/>
          <w:sz w:val="22"/>
          <w:szCs w:val="22"/>
        </w:rPr>
        <w:t xml:space="preserve">When knowledge bases are updated (e.g., new medical guidelines, regional plant data), the updated hash is published to HCS, creating an immutable audit trail of every version. Communities can verify they have the latest validated content.</w:t>
      </w:r>
    </w:p>
    <w:p>
      <w:pPr>
        <w:pStyle w:val="Heading2"/>
        <w:spacing w:before="280" w:after="160"/>
      </w:pPr>
      <w:r>
        <w:rPr>
          <w:rFonts w:ascii="Arial" w:cs="Arial" w:eastAsia="Arial" w:hAnsi="Arial"/>
          <w:b/>
          <w:bCs/>
          <w:color w:val="8259EF"/>
          <w:sz w:val="26"/>
          <w:szCs w:val="26"/>
        </w:rPr>
        <w:t xml:space="preserve">B. Impact Distribution Tracking — Hedera Token Service (HTS)</w:t>
      </w:r>
    </w:p>
    <w:p>
      <w:pPr>
        <w:spacing w:before="60" w:after="100" w:line="300"/>
      </w:pPr>
      <w:r>
        <w:rPr>
          <w:rFonts w:ascii="Arial" w:cs="Arial" w:eastAsia="Arial" w:hAnsi="Arial"/>
          <w:color w:val="1A1A1A"/>
          <w:sz w:val="22"/>
          <w:szCs w:val="22"/>
        </w:rPr>
        <w:t xml:space="preserve">A custom Prometheus Impact Token (PIT) is minted on HTS to track the humanitarian flow from commercial purchase to community deployment:</w:t>
      </w:r>
    </w:p>
    <w:p>
      <w:pPr>
        <w:pStyle w:val="ListParagraph"/>
        <w:numPr>
          <w:ilvl w:val="0"/>
          <w:numId w:val="3"/>
        </w:numPr>
        <w:spacing w:before="40" w:after="40" w:line="280"/>
      </w:pPr>
      <w:r>
        <w:rPr>
          <w:rFonts w:ascii="Arial" w:cs="Arial" w:eastAsia="Arial" w:hAnsi="Arial"/>
          <w:b/>
          <w:bCs/>
          <w:color w:val="1A1A1A"/>
          <w:sz w:val="22"/>
          <w:szCs w:val="22"/>
        </w:rPr>
        <w:t xml:space="preserve">Commercial sale: </w:t>
      </w:r>
      <w:r>
        <w:rPr>
          <w:rFonts w:ascii="Arial" w:cs="Arial" w:eastAsia="Arial" w:hAnsi="Arial"/>
          <w:color w:val="1A1A1A"/>
          <w:sz w:val="22"/>
          <w:szCs w:val="22"/>
        </w:rPr>
        <w:t xml:space="preserve">When a ready-made Prometheus device is purchased, a percentage of the sale (e.g., 20%) is allocated to the deployment fund. This allocation is recorded on-chain via HTS.</w:t>
      </w:r>
    </w:p>
    <w:p>
      <w:pPr>
        <w:pStyle w:val="ListParagraph"/>
        <w:numPr>
          <w:ilvl w:val="0"/>
          <w:numId w:val="3"/>
        </w:numPr>
        <w:spacing w:before="40" w:after="40" w:line="280"/>
      </w:pPr>
      <w:r>
        <w:rPr>
          <w:rFonts w:ascii="Arial" w:cs="Arial" w:eastAsia="Arial" w:hAnsi="Arial"/>
          <w:b/>
          <w:bCs/>
          <w:color w:val="1A1A1A"/>
          <w:sz w:val="22"/>
          <w:szCs w:val="22"/>
        </w:rPr>
        <w:t xml:space="preserve">Fund accumulation: </w:t>
      </w:r>
      <w:r>
        <w:rPr>
          <w:rFonts w:ascii="Arial" w:cs="Arial" w:eastAsia="Arial" w:hAnsi="Arial"/>
          <w:color w:val="1A1A1A"/>
          <w:sz w:val="22"/>
          <w:szCs w:val="22"/>
        </w:rPr>
        <w:t xml:space="preserve">As the deployment fund grows, its balance is publicly visible on-chain. Anyone can verify total funds collected, total funds deployed, and current balance.</w:t>
      </w:r>
    </w:p>
    <w:p>
      <w:pPr>
        <w:pStyle w:val="ListParagraph"/>
        <w:numPr>
          <w:ilvl w:val="0"/>
          <w:numId w:val="3"/>
        </w:numPr>
        <w:spacing w:before="40" w:after="40" w:line="280"/>
      </w:pPr>
      <w:r>
        <w:rPr>
          <w:rFonts w:ascii="Arial" w:cs="Arial" w:eastAsia="Arial" w:hAnsi="Arial"/>
          <w:b/>
          <w:bCs/>
          <w:color w:val="1A1A1A"/>
          <w:sz w:val="22"/>
          <w:szCs w:val="22"/>
        </w:rPr>
        <w:t xml:space="preserve">Device deployment: </w:t>
      </w:r>
      <w:r>
        <w:rPr>
          <w:rFonts w:ascii="Arial" w:cs="Arial" w:eastAsia="Arial" w:hAnsi="Arial"/>
          <w:color w:val="1A1A1A"/>
          <w:sz w:val="22"/>
          <w:szCs w:val="22"/>
        </w:rPr>
        <w:t xml:space="preserve">When a funded device is assembled and shipped to a partner organization (Doctors Without Borders, community health networks, etc.), the deployment is recorded on-chain with recipient organization, destination region, device ID, and knowledge base version hash.</w:t>
      </w:r>
    </w:p>
    <w:p>
      <w:pPr>
        <w:pStyle w:val="ListParagraph"/>
        <w:numPr>
          <w:ilvl w:val="0"/>
          <w:numId w:val="3"/>
        </w:numPr>
        <w:spacing w:before="40" w:after="40" w:line="280"/>
      </w:pPr>
      <w:r>
        <w:rPr>
          <w:rFonts w:ascii="Arial" w:cs="Arial" w:eastAsia="Arial" w:hAnsi="Arial"/>
          <w:b/>
          <w:bCs/>
          <w:color w:val="1A1A1A"/>
          <w:sz w:val="22"/>
          <w:szCs w:val="22"/>
        </w:rPr>
        <w:t xml:space="preserve">Impact verification: </w:t>
      </w:r>
      <w:r>
        <w:rPr>
          <w:rFonts w:ascii="Arial" w:cs="Arial" w:eastAsia="Arial" w:hAnsi="Arial"/>
          <w:color w:val="1A1A1A"/>
          <w:sz w:val="22"/>
          <w:szCs w:val="22"/>
        </w:rPr>
        <w:t xml:space="preserve">Partner organizations confirm receipt and activation on-chain, closing the loop. The commercial buyer can trace their contribution from purchase to deployed device to community served.</w:t>
      </w:r>
    </w:p>
    <w:p>
      <w:pPr>
        <w:spacing w:before="60" w:after="60"/>
      </w:pPr>
    </w:p>
    <w:p>
      <w:pPr>
        <w:spacing w:before="60" w:after="100" w:line="300"/>
      </w:pPr>
      <w:r>
        <w:rPr>
          <w:rFonts w:ascii="Arial" w:cs="Arial" w:eastAsia="Arial" w:hAnsi="Arial"/>
          <w:color w:val="1A1A1A"/>
          <w:sz w:val="22"/>
          <w:szCs w:val="22"/>
        </w:rPr>
        <w:t xml:space="preserve">This creates a fully transparent, auditable humanitarian supply chain — eliminating the opacity that undermines trust in traditional buy-one-give-one models.</w:t>
      </w:r>
    </w:p>
    <w:p>
      <w:pPr>
        <w:pStyle w:val="Heading2"/>
        <w:spacing w:before="280" w:after="160"/>
      </w:pPr>
      <w:r>
        <w:rPr>
          <w:rFonts w:ascii="Arial" w:cs="Arial" w:eastAsia="Arial" w:hAnsi="Arial"/>
          <w:b/>
          <w:bCs/>
          <w:color w:val="8259EF"/>
          <w:sz w:val="26"/>
          <w:szCs w:val="26"/>
        </w:rPr>
        <w:t xml:space="preserve">C. Knowledge Governance — Hedera Consensus Service + HTS Governance</w:t>
      </w:r>
    </w:p>
    <w:p>
      <w:pPr>
        <w:spacing w:before="60" w:after="100" w:line="300"/>
      </w:pPr>
      <w:r>
        <w:rPr>
          <w:rFonts w:ascii="Arial" w:cs="Arial" w:eastAsia="Arial" w:hAnsi="Arial"/>
          <w:color w:val="1A1A1A"/>
          <w:sz w:val="22"/>
          <w:szCs w:val="22"/>
        </w:rPr>
        <w:t xml:space="preserve">Decisions about what gets included in or removed from the knowledge bases are governed through a transparent, on-chain process:</w:t>
      </w:r>
    </w:p>
    <w:p>
      <w:pPr>
        <w:pStyle w:val="ListParagraph"/>
        <w:numPr>
          <w:ilvl w:val="0"/>
          <w:numId w:val="2"/>
        </w:numPr>
        <w:spacing w:before="40" w:after="40" w:line="280"/>
      </w:pPr>
      <w:r>
        <w:rPr>
          <w:rFonts w:ascii="Arial" w:cs="Arial" w:eastAsia="Arial" w:hAnsi="Arial"/>
          <w:b/>
          <w:bCs/>
          <w:color w:val="1A1A1A"/>
          <w:sz w:val="22"/>
          <w:szCs w:val="22"/>
        </w:rPr>
        <w:t xml:space="preserve">Curation proposals: </w:t>
      </w:r>
      <w:r>
        <w:rPr>
          <w:rFonts w:ascii="Arial" w:cs="Arial" w:eastAsia="Arial" w:hAnsi="Arial"/>
          <w:color w:val="1A1A1A"/>
          <w:sz w:val="22"/>
          <w:szCs w:val="22"/>
        </w:rPr>
        <w:t xml:space="preserve">Domain experts submit knowledge base additions or modifications as proposals, published to HCS with supporting evidence and peer review attestations.</w:t>
      </w:r>
    </w:p>
    <w:p>
      <w:pPr>
        <w:pStyle w:val="ListParagraph"/>
        <w:numPr>
          <w:ilvl w:val="0"/>
          <w:numId w:val="2"/>
        </w:numPr>
        <w:spacing w:before="40" w:after="40" w:line="280"/>
      </w:pPr>
      <w:r>
        <w:rPr>
          <w:rFonts w:ascii="Arial" w:cs="Arial" w:eastAsia="Arial" w:hAnsi="Arial"/>
          <w:b/>
          <w:bCs/>
          <w:color w:val="1A1A1A"/>
          <w:sz w:val="22"/>
          <w:szCs w:val="22"/>
        </w:rPr>
        <w:t xml:space="preserve">Community review: </w:t>
      </w:r>
      <w:r>
        <w:rPr>
          <w:rFonts w:ascii="Arial" w:cs="Arial" w:eastAsia="Arial" w:hAnsi="Arial"/>
          <w:color w:val="1A1A1A"/>
          <w:sz w:val="22"/>
          <w:szCs w:val="22"/>
        </w:rPr>
        <w:t xml:space="preserve">Governance token holders (earned through verified contributions, not purchased) vote on proposals. Voting records are immutable on HCS.</w:t>
      </w:r>
    </w:p>
    <w:p>
      <w:pPr>
        <w:pStyle w:val="ListParagraph"/>
        <w:numPr>
          <w:ilvl w:val="0"/>
          <w:numId w:val="2"/>
        </w:numPr>
        <w:spacing w:before="40" w:after="40" w:line="280"/>
      </w:pPr>
      <w:r>
        <w:rPr>
          <w:rFonts w:ascii="Arial" w:cs="Arial" w:eastAsia="Arial" w:hAnsi="Arial"/>
          <w:b/>
          <w:bCs/>
          <w:color w:val="1A1A1A"/>
          <w:sz w:val="22"/>
          <w:szCs w:val="22"/>
        </w:rPr>
        <w:t xml:space="preserve">Cultural sovereignty protections: </w:t>
      </w:r>
      <w:r>
        <w:rPr>
          <w:rFonts w:ascii="Arial" w:cs="Arial" w:eastAsia="Arial" w:hAnsi="Arial"/>
          <w:color w:val="1A1A1A"/>
          <w:sz w:val="22"/>
          <w:szCs w:val="22"/>
        </w:rPr>
        <w:t xml:space="preserve">Indigenous and traditional knowledge entries require verified consent from contributing communities before inclusion. Consent records are anchored to HCS, creating an immutable provenance chain for culturally sensitive content.</w:t>
      </w:r>
    </w:p>
    <w:p>
      <w:pPr>
        <w:pStyle w:val="Heading1"/>
        <w:spacing w:before="360" w:after="200"/>
      </w:pPr>
      <w:r>
        <w:rPr>
          <w:rFonts w:ascii="Arial" w:cs="Arial" w:eastAsia="Arial" w:hAnsi="Arial"/>
          <w:b/>
          <w:bCs/>
          <w:color w:val="1B2A4A"/>
          <w:sz w:val="32"/>
          <w:szCs w:val="32"/>
        </w:rPr>
        <w:t xml:space="preserve">4. Technical Architecture</w:t>
      </w:r>
    </w:p>
    <w:p>
      <w:pPr>
        <w:pStyle w:val="Heading2"/>
        <w:spacing w:before="280" w:after="160"/>
      </w:pPr>
      <w:r>
        <w:rPr>
          <w:rFonts w:ascii="Arial" w:cs="Arial" w:eastAsia="Arial" w:hAnsi="Arial"/>
          <w:b/>
          <w:bCs/>
          <w:color w:val="8259EF"/>
          <w:sz w:val="26"/>
          <w:szCs w:val="26"/>
        </w:rPr>
        <w:t xml:space="preserve">System Overview</w:t>
      </w:r>
    </w:p>
    <w:p>
      <w:pPr>
        <w:spacing w:before="60" w:after="100" w:line="300"/>
      </w:pPr>
      <w:r>
        <w:rPr>
          <w:rFonts w:ascii="Arial" w:cs="Arial" w:eastAsia="Arial" w:hAnsi="Arial"/>
          <w:color w:val="1A1A1A"/>
          <w:sz w:val="22"/>
          <w:szCs w:val="22"/>
        </w:rPr>
        <w:t xml:space="preserve">The Prometheus ecosystem has three layers, with Hedera serving as the trust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8259E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8259EF"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580"/>
            <w:tcBorders>
              <w:top w:val="single" w:color="CCCCCC" w:sz="1"/>
              <w:left w:val="single" w:color="CCCCCC" w:sz="1"/>
              <w:bottom w:val="single" w:color="CCCCCC" w:sz="1"/>
              <w:right w:val="single" w:color="CCCCCC" w:sz="1"/>
            </w:tcBorders>
            <w:shd w:fill="8259EF" w:val="clear"/>
            <w:tcMar>
              <w:top w:type="dxa" w:w="80"/>
              <w:left w:type="dxa" w:w="120"/>
              <w:bottom w:type="dxa" w:w="80"/>
              <w:right w:type="dxa" w:w="120"/>
            </w:tcMar>
          </w:tcPr>
          <w:p>
            <w:r>
              <w:rPr>
                <w:rFonts w:ascii="Arial" w:cs="Arial" w:eastAsia="Arial" w:hAnsi="Arial"/>
                <w:b/>
                <w:bCs/>
                <w:color w:val="FFFFFF"/>
                <w:sz w:val="20"/>
                <w:szCs w:val="20"/>
              </w:rPr>
              <w:t xml:space="preserve">Hedera Integration</w:t>
            </w:r>
          </w:p>
        </w:tc>
      </w:tr>
      <w:tr>
        <w:tc>
          <w:tcPr>
            <w:tcW w:type="dxa" w:w="220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Edge Device</w:t>
            </w:r>
          </w:p>
        </w:tc>
        <w:tc>
          <w:tcPr>
            <w:tcW w:type="dxa" w:w="358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Raspberry Pi 5 + AI HAT+ 2 + NVMe SSD + Solar + Battery. Runs Ollama + local LLM + RAG pipeline over curated knowledge bases.</w:t>
            </w:r>
          </w:p>
        </w:tc>
        <w:tc>
          <w:tcPr>
            <w:tcW w:type="dxa" w:w="358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Local hash verification of knowledge bases against HCS-anchored fingerprints. Device ID registered on-chain at assembly.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Distribution Platform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Web-based storefront for ready-made devices. Nonprofit fund management. Partner org coordination for deployment.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HTS-based impact tokens track fund flow from sale to deployment. Smart contract automates fund allocation splits.</w:t>
            </w:r>
          </w:p>
        </w:tc>
      </w:tr>
      <w:tr>
        <w:tc>
          <w:tcPr>
            <w:tcW w:type="dxa" w:w="220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Governance Layer</w:t>
            </w:r>
          </w:p>
        </w:tc>
        <w:tc>
          <w:tcPr>
            <w:tcW w:type="dxa" w:w="358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Knowledge curation proposals, peer review, community voting, cultural consent management.</w:t>
            </w:r>
          </w:p>
        </w:tc>
        <w:tc>
          <w:tcPr>
            <w:tcW w:type="dxa" w:w="358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HCS for proposal publishing and vote recording. HTS governance tokens for verified contributors. Consent provenance on HCS.</w:t>
            </w:r>
          </w:p>
        </w:tc>
      </w:tr>
    </w:tbl>
    <w:p>
      <w:pPr>
        <w:pStyle w:val="Heading2"/>
        <w:spacing w:before="280" w:after="160"/>
      </w:pPr>
      <w:r>
        <w:rPr>
          <w:rFonts w:ascii="Arial" w:cs="Arial" w:eastAsia="Arial" w:hAnsi="Arial"/>
          <w:b/>
          <w:bCs/>
          <w:color w:val="8259EF"/>
          <w:sz w:val="26"/>
          <w:szCs w:val="26"/>
        </w:rPr>
        <w:t xml:space="preserve">Hedera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8259EF" w:val="clear"/>
            <w:tcMar>
              <w:top w:type="dxa" w:w="80"/>
              <w:left w:type="dxa" w:w="120"/>
              <w:bottom w:type="dxa" w:w="80"/>
              <w:right w:type="dxa" w:w="120"/>
            </w:tcMar>
          </w:tcPr>
          <w:p>
            <w:r>
              <w:rPr>
                <w:rFonts w:ascii="Arial" w:cs="Arial" w:eastAsia="Arial" w:hAnsi="Arial"/>
                <w:b/>
                <w:bCs/>
                <w:color w:val="FFFFFF"/>
                <w:sz w:val="20"/>
                <w:szCs w:val="20"/>
              </w:rPr>
              <w:t xml:space="preserve">Hedera Service</w:t>
            </w:r>
          </w:p>
        </w:tc>
        <w:tc>
          <w:tcPr>
            <w:tcW w:type="dxa" w:w="3280"/>
            <w:tcBorders>
              <w:top w:val="single" w:color="CCCCCC" w:sz="1"/>
              <w:left w:val="single" w:color="CCCCCC" w:sz="1"/>
              <w:bottom w:val="single" w:color="CCCCCC" w:sz="1"/>
              <w:right w:val="single" w:color="CCCCCC" w:sz="1"/>
            </w:tcBorders>
            <w:shd w:fill="8259EF"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3280"/>
            <w:tcBorders>
              <w:top w:val="single" w:color="CCCCCC" w:sz="1"/>
              <w:left w:val="single" w:color="CCCCCC" w:sz="1"/>
              <w:bottom w:val="single" w:color="CCCCCC" w:sz="1"/>
              <w:right w:val="single" w:color="CCCCCC" w:sz="1"/>
            </w:tcBorders>
            <w:shd w:fill="8259EF" w:val="clear"/>
            <w:tcMar>
              <w:top w:type="dxa" w:w="80"/>
              <w:left w:type="dxa" w:w="120"/>
              <w:bottom w:type="dxa" w:w="80"/>
              <w:right w:type="dxa" w:w="120"/>
            </w:tcMar>
          </w:tcPr>
          <w:p>
            <w:r>
              <w:rPr>
                <w:rFonts w:ascii="Arial" w:cs="Arial" w:eastAsia="Arial" w:hAnsi="Arial"/>
                <w:b/>
                <w:bCs/>
                <w:color w:val="FFFFFF"/>
                <w:sz w:val="20"/>
                <w:szCs w:val="20"/>
              </w:rPr>
              <w:t xml:space="preserve">Why Hedera (vs. alternatives)</w:t>
            </w:r>
          </w:p>
        </w:tc>
      </w:tr>
      <w:tr>
        <w:tc>
          <w:tcPr>
            <w:tcW w:type="dxa" w:w="280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Consensus Service (HCS)</w:t>
            </w:r>
          </w:p>
        </w:tc>
        <w:tc>
          <w:tcPr>
            <w:tcW w:type="dxa" w:w="328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Knowledge base hash anchoring, curation proposals, governance votes, consent records, update audit trails</w:t>
            </w:r>
          </w:p>
        </w:tc>
        <w:tc>
          <w:tcPr>
            <w:tcW w:type="dxa" w:w="328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Sub-second finality, low cost per message (~$0.0001), immutable ordered log ideal for audit trails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Token Service (HTS)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Prometheus Impact Tokens for fund tracking, governance tokens for verified contributors, device registry NFTs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Native token issuance without smart contract overhead, low minting costs, built-in KYC/compliance flags</w:t>
            </w:r>
          </w:p>
        </w:tc>
      </w:tr>
      <w:tr>
        <w:tc>
          <w:tcPr>
            <w:tcW w:type="dxa" w:w="280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Smart Contract Service</w:t>
            </w:r>
          </w:p>
        </w:tc>
        <w:tc>
          <w:tcPr>
            <w:tcW w:type="dxa" w:w="328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Automated fund allocation (% of sale to deployment fund), escrow release on partner confirmation</w:t>
            </w:r>
          </w:p>
        </w:tc>
        <w:tc>
          <w:tcPr>
            <w:tcW w:type="dxa" w:w="328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EVM-compatible, predictable gas costs, enterprise-grade reliability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Mirror Node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Public dashboard for fund transparency, device registry queries, knowledge base version lookups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Free read access to full transaction history, enabling public accountability without on-chain query costs</w:t>
            </w:r>
          </w:p>
        </w:tc>
      </w:tr>
    </w:tbl>
    <w:p>
      <w:pPr>
        <w:pStyle w:val="Heading2"/>
        <w:spacing w:before="280" w:after="160"/>
      </w:pPr>
      <w:r>
        <w:rPr>
          <w:rFonts w:ascii="Arial" w:cs="Arial" w:eastAsia="Arial" w:hAnsi="Arial"/>
          <w:b/>
          <w:bCs/>
          <w:color w:val="8259EF"/>
          <w:sz w:val="26"/>
          <w:szCs w:val="26"/>
        </w:rPr>
        <w:t xml:space="preserve">Smart Contract Logic: Fund Allocation</w:t>
      </w:r>
    </w:p>
    <w:p>
      <w:pPr>
        <w:spacing w:before="60" w:after="100" w:line="300"/>
      </w:pPr>
      <w:r>
        <w:rPr>
          <w:rFonts w:ascii="Arial" w:cs="Arial" w:eastAsia="Arial" w:hAnsi="Arial"/>
          <w:color w:val="1A1A1A"/>
          <w:sz w:val="22"/>
          <w:szCs w:val="22"/>
        </w:rPr>
        <w:t xml:space="preserve">A Solidity smart contract on Hedera automates the buy-one-fund-one mechanism:</w:t>
      </w:r>
    </w:p>
    <w:p>
      <w:pPr>
        <w:pStyle w:val="ListParagraph"/>
        <w:numPr>
          <w:ilvl w:val="0"/>
          <w:numId w:val="2"/>
        </w:numPr>
        <w:spacing w:before="40" w:after="40" w:line="280"/>
      </w:pPr>
      <w:r>
        <w:rPr>
          <w:rFonts w:ascii="Arial" w:cs="Arial" w:eastAsia="Arial" w:hAnsi="Arial"/>
          <w:b/>
          <w:bCs/>
          <w:color w:val="1A1A1A"/>
          <w:sz w:val="22"/>
          <w:szCs w:val="22"/>
        </w:rPr>
        <w:t xml:space="preserve">On purchase: </w:t>
      </w:r>
      <w:r>
        <w:rPr>
          <w:rFonts w:ascii="Arial" w:cs="Arial" w:eastAsia="Arial" w:hAnsi="Arial"/>
          <w:color w:val="1A1A1A"/>
          <w:sz w:val="22"/>
          <w:szCs w:val="22"/>
        </w:rPr>
        <w:t xml:space="preserve">Contract receives payment, splits it into operational revenue (80%) and deployment fund (20%). Split ratio is governance-adjustable.</w:t>
      </w:r>
    </w:p>
    <w:p>
      <w:pPr>
        <w:pStyle w:val="ListParagraph"/>
        <w:numPr>
          <w:ilvl w:val="0"/>
          <w:numId w:val="2"/>
        </w:numPr>
        <w:spacing w:before="40" w:after="40" w:line="280"/>
      </w:pPr>
      <w:r>
        <w:rPr>
          <w:rFonts w:ascii="Arial" w:cs="Arial" w:eastAsia="Arial" w:hAnsi="Arial"/>
          <w:b/>
          <w:bCs/>
          <w:color w:val="1A1A1A"/>
          <w:sz w:val="22"/>
          <w:szCs w:val="22"/>
        </w:rPr>
        <w:t xml:space="preserve">On deployment threshold: </w:t>
      </w:r>
      <w:r>
        <w:rPr>
          <w:rFonts w:ascii="Arial" w:cs="Arial" w:eastAsia="Arial" w:hAnsi="Arial"/>
          <w:color w:val="1A1A1A"/>
          <w:sz w:val="22"/>
          <w:szCs w:val="22"/>
        </w:rPr>
        <w:t xml:space="preserve">When the deployment fund accumulates enough to cover one device’s bill of materials + shipping, contract emits a deployment-ready event.</w:t>
      </w:r>
    </w:p>
    <w:p>
      <w:pPr>
        <w:pStyle w:val="ListParagraph"/>
        <w:numPr>
          <w:ilvl w:val="0"/>
          <w:numId w:val="2"/>
        </w:numPr>
        <w:spacing w:before="40" w:after="40" w:line="280"/>
      </w:pPr>
      <w:r>
        <w:rPr>
          <w:rFonts w:ascii="Arial" w:cs="Arial" w:eastAsia="Arial" w:hAnsi="Arial"/>
          <w:b/>
          <w:bCs/>
          <w:color w:val="1A1A1A"/>
          <w:sz w:val="22"/>
          <w:szCs w:val="22"/>
        </w:rPr>
        <w:t xml:space="preserve">On partner confirmation: </w:t>
      </w:r>
      <w:r>
        <w:rPr>
          <w:rFonts w:ascii="Arial" w:cs="Arial" w:eastAsia="Arial" w:hAnsi="Arial"/>
          <w:color w:val="1A1A1A"/>
          <w:sz w:val="22"/>
          <w:szCs w:val="22"/>
        </w:rPr>
        <w:t xml:space="preserve">Partner organization submits on-chain confirmation of device receipt and activation. This triggers impact token minting to the original buyer’s account as a verifiable proof of impact.</w:t>
      </w:r>
    </w:p>
    <w:p>
      <w:pPr>
        <w:pStyle w:val="Heading1"/>
        <w:spacing w:before="360" w:after="200"/>
      </w:pPr>
      <w:r>
        <w:rPr>
          <w:rFonts w:ascii="Arial" w:cs="Arial" w:eastAsia="Arial" w:hAnsi="Arial"/>
          <w:b/>
          <w:bCs/>
          <w:color w:val="1B2A4A"/>
          <w:sz w:val="32"/>
          <w:szCs w:val="32"/>
        </w:rPr>
        <w:t xml:space="preserve">5. Sustainability Track Alignment</w:t>
      </w:r>
    </w:p>
    <w:p>
      <w:pPr>
        <w:spacing w:before="60" w:after="100" w:line="300"/>
      </w:pPr>
      <w:r>
        <w:rPr>
          <w:rFonts w:ascii="Arial" w:cs="Arial" w:eastAsia="Arial" w:hAnsi="Arial"/>
          <w:color w:val="1A1A1A"/>
          <w:sz w:val="22"/>
          <w:szCs w:val="22"/>
        </w:rPr>
        <w:t xml:space="preserve">Project Prometheus aligns with the Sustainability track’s mandate to create systems that “reward regeneration and channel value back to the planet and society”:</w:t>
      </w:r>
    </w:p>
    <w:p>
      <w:pPr>
        <w:pStyle w:val="Heading2"/>
        <w:spacing w:before="280" w:after="160"/>
      </w:pPr>
      <w:r>
        <w:rPr>
          <w:rFonts w:ascii="Arial" w:cs="Arial" w:eastAsia="Arial" w:hAnsi="Arial"/>
          <w:b/>
          <w:bCs/>
          <w:color w:val="8259EF"/>
          <w:sz w:val="26"/>
          <w:szCs w:val="26"/>
        </w:rPr>
        <w:t xml:space="preserve">Ecological Sustainability</w:t>
      </w:r>
    </w:p>
    <w:p>
      <w:pPr>
        <w:pStyle w:val="ListParagraph"/>
        <w:numPr>
          <w:ilvl w:val="0"/>
          <w:numId w:val="2"/>
        </w:numPr>
        <w:spacing w:before="40" w:after="40" w:line="280"/>
      </w:pPr>
      <w:r>
        <w:rPr>
          <w:rFonts w:ascii="Arial" w:cs="Arial" w:eastAsia="Arial" w:hAnsi="Arial"/>
          <w:b/>
          <w:bCs/>
          <w:color w:val="1A1A1A"/>
          <w:sz w:val="22"/>
          <w:szCs w:val="22"/>
        </w:rPr>
        <w:t xml:space="preserve">Hedera’s carbon-negative network: </w:t>
      </w:r>
      <w:r>
        <w:rPr>
          <w:rFonts w:ascii="Arial" w:cs="Arial" w:eastAsia="Arial" w:hAnsi="Arial"/>
          <w:color w:val="1A1A1A"/>
          <w:sz w:val="22"/>
          <w:szCs w:val="22"/>
        </w:rPr>
        <w:t xml:space="preserve">Every Prometheus transaction — knowledge verification, fund tracking, governance vote — runs on the most energy-efficient public DLT available. The network’s carbon footprint is negligible compared to proof-of-work alternatives.</w:t>
      </w:r>
    </w:p>
    <w:p>
      <w:pPr>
        <w:pStyle w:val="ListParagraph"/>
        <w:numPr>
          <w:ilvl w:val="0"/>
          <w:numId w:val="2"/>
        </w:numPr>
        <w:spacing w:before="40" w:after="40" w:line="280"/>
      </w:pPr>
      <w:r>
        <w:rPr>
          <w:rFonts w:ascii="Arial" w:cs="Arial" w:eastAsia="Arial" w:hAnsi="Arial"/>
          <w:b/>
          <w:bCs/>
          <w:color w:val="1A1A1A"/>
          <w:sz w:val="22"/>
          <w:szCs w:val="22"/>
        </w:rPr>
        <w:t xml:space="preserve">Device longevity: </w:t>
      </w:r>
      <w:r>
        <w:rPr>
          <w:rFonts w:ascii="Arial" w:cs="Arial" w:eastAsia="Arial" w:hAnsi="Arial"/>
          <w:color w:val="1A1A1A"/>
          <w:sz w:val="22"/>
          <w:szCs w:val="22"/>
        </w:rPr>
        <w:t xml:space="preserve">Raspberry Pi hardware is designed for 10+ year operational life. Solar-rechargeable. No planned obsolescence. No subscription that expires.</w:t>
      </w:r>
    </w:p>
    <w:p>
      <w:pPr>
        <w:pStyle w:val="ListParagraph"/>
        <w:numPr>
          <w:ilvl w:val="0"/>
          <w:numId w:val="2"/>
        </w:numPr>
        <w:spacing w:before="40" w:after="40" w:line="280"/>
      </w:pPr>
      <w:r>
        <w:rPr>
          <w:rFonts w:ascii="Arial" w:cs="Arial" w:eastAsia="Arial" w:hAnsi="Arial"/>
          <w:b/>
          <w:bCs/>
          <w:color w:val="1A1A1A"/>
          <w:sz w:val="22"/>
          <w:szCs w:val="22"/>
        </w:rPr>
        <w:t xml:space="preserve">Knowledge as renewable resource: </w:t>
      </w:r>
      <w:r>
        <w:rPr>
          <w:rFonts w:ascii="Arial" w:cs="Arial" w:eastAsia="Arial" w:hAnsi="Arial"/>
          <w:color w:val="1A1A1A"/>
          <w:sz w:val="22"/>
          <w:szCs w:val="22"/>
        </w:rPr>
        <w:t xml:space="preserve">Unlike consumable aid, knowledge deployed once compounds indefinitely. A device placed in a community continues generating value for years without additional input.</w:t>
      </w:r>
    </w:p>
    <w:p>
      <w:pPr>
        <w:pStyle w:val="Heading2"/>
        <w:spacing w:before="280" w:after="160"/>
      </w:pPr>
      <w:r>
        <w:rPr>
          <w:rFonts w:ascii="Arial" w:cs="Arial" w:eastAsia="Arial" w:hAnsi="Arial"/>
          <w:b/>
          <w:bCs/>
          <w:color w:val="8259EF"/>
          <w:sz w:val="26"/>
          <w:szCs w:val="26"/>
        </w:rPr>
        <w:t xml:space="preserve">Social Sustainability</w:t>
      </w:r>
    </w:p>
    <w:p>
      <w:pPr>
        <w:pStyle w:val="ListParagraph"/>
        <w:numPr>
          <w:ilvl w:val="0"/>
          <w:numId w:val="2"/>
        </w:numPr>
        <w:spacing w:before="40" w:after="40" w:line="280"/>
      </w:pPr>
      <w:r>
        <w:rPr>
          <w:rFonts w:ascii="Arial" w:cs="Arial" w:eastAsia="Arial" w:hAnsi="Arial"/>
          <w:b/>
          <w:bCs/>
          <w:color w:val="1A1A1A"/>
          <w:sz w:val="22"/>
          <w:szCs w:val="22"/>
        </w:rPr>
        <w:t xml:space="preserve">Equitable access: </w:t>
      </w:r>
      <w:r>
        <w:rPr>
          <w:rFonts w:ascii="Arial" w:cs="Arial" w:eastAsia="Arial" w:hAnsi="Arial"/>
          <w:color w:val="1A1A1A"/>
          <w:sz w:val="22"/>
          <w:szCs w:val="22"/>
        </w:rPr>
        <w:t xml:space="preserve">The buy-one-fund-one model ensures that commercial success directly translates to expanded access for underserved communities.</w:t>
      </w:r>
    </w:p>
    <w:p>
      <w:pPr>
        <w:pStyle w:val="ListParagraph"/>
        <w:numPr>
          <w:ilvl w:val="0"/>
          <w:numId w:val="2"/>
        </w:numPr>
        <w:spacing w:before="40" w:after="40" w:line="280"/>
      </w:pPr>
      <w:r>
        <w:rPr>
          <w:rFonts w:ascii="Arial" w:cs="Arial" w:eastAsia="Arial" w:hAnsi="Arial"/>
          <w:b/>
          <w:bCs/>
          <w:color w:val="1A1A1A"/>
          <w:sz w:val="22"/>
          <w:szCs w:val="22"/>
        </w:rPr>
        <w:t xml:space="preserve">Community ownership: </w:t>
      </w:r>
      <w:r>
        <w:rPr>
          <w:rFonts w:ascii="Arial" w:cs="Arial" w:eastAsia="Arial" w:hAnsi="Arial"/>
          <w:color w:val="1A1A1A"/>
          <w:sz w:val="22"/>
          <w:szCs w:val="22"/>
        </w:rPr>
        <w:t xml:space="preserve">Open-source licensing ensures no entity can capture or restrict the technology. Communities own their devices and data permanently.</w:t>
      </w:r>
    </w:p>
    <w:p>
      <w:pPr>
        <w:pStyle w:val="ListParagraph"/>
        <w:numPr>
          <w:ilvl w:val="0"/>
          <w:numId w:val="2"/>
        </w:numPr>
        <w:spacing w:before="40" w:after="40" w:line="280"/>
      </w:pPr>
      <w:r>
        <w:rPr>
          <w:rFonts w:ascii="Arial" w:cs="Arial" w:eastAsia="Arial" w:hAnsi="Arial"/>
          <w:b/>
          <w:bCs/>
          <w:color w:val="1A1A1A"/>
          <w:sz w:val="22"/>
          <w:szCs w:val="22"/>
        </w:rPr>
        <w:t xml:space="preserve">Cultural sovereignty: </w:t>
      </w:r>
      <w:r>
        <w:rPr>
          <w:rFonts w:ascii="Arial" w:cs="Arial" w:eastAsia="Arial" w:hAnsi="Arial"/>
          <w:color w:val="1A1A1A"/>
          <w:sz w:val="22"/>
          <w:szCs w:val="22"/>
        </w:rPr>
        <w:t xml:space="preserve">On-chain consent records protect indigenous knowledge contributors. Governance tokens are earned through contribution, not purchased — preventing wealth-based capture of decision-making.</w:t>
      </w:r>
    </w:p>
    <w:p>
      <w:pPr>
        <w:pStyle w:val="Heading2"/>
        <w:spacing w:before="280" w:after="160"/>
      </w:pPr>
      <w:r>
        <w:rPr>
          <w:rFonts w:ascii="Arial" w:cs="Arial" w:eastAsia="Arial" w:hAnsi="Arial"/>
          <w:b/>
          <w:bCs/>
          <w:color w:val="8259EF"/>
          <w:sz w:val="26"/>
          <w:szCs w:val="26"/>
        </w:rPr>
        <w:t xml:space="preserve">Economic Sustainability</w:t>
      </w:r>
    </w:p>
    <w:p>
      <w:pPr>
        <w:pStyle w:val="ListParagraph"/>
        <w:numPr>
          <w:ilvl w:val="0"/>
          <w:numId w:val="2"/>
        </w:numPr>
        <w:spacing w:before="40" w:after="40" w:line="280"/>
      </w:pPr>
      <w:r>
        <w:rPr>
          <w:rFonts w:ascii="Arial" w:cs="Arial" w:eastAsia="Arial" w:hAnsi="Arial"/>
          <w:b/>
          <w:bCs/>
          <w:color w:val="1A1A1A"/>
          <w:sz w:val="22"/>
          <w:szCs w:val="22"/>
        </w:rPr>
        <w:t xml:space="preserve">Self-funding model: </w:t>
      </w:r>
      <w:r>
        <w:rPr>
          <w:rFonts w:ascii="Arial" w:cs="Arial" w:eastAsia="Arial" w:hAnsi="Arial"/>
          <w:color w:val="1A1A1A"/>
          <w:sz w:val="22"/>
          <w:szCs w:val="22"/>
        </w:rPr>
        <w:t xml:space="preserve">Device sales fund further deployments. No perpetual donor dependency.</w:t>
      </w:r>
    </w:p>
    <w:p>
      <w:pPr>
        <w:pStyle w:val="ListParagraph"/>
        <w:numPr>
          <w:ilvl w:val="0"/>
          <w:numId w:val="2"/>
        </w:numPr>
        <w:spacing w:before="40" w:after="40" w:line="280"/>
      </w:pPr>
      <w:r>
        <w:rPr>
          <w:rFonts w:ascii="Arial" w:cs="Arial" w:eastAsia="Arial" w:hAnsi="Arial"/>
          <w:b/>
          <w:bCs/>
          <w:color w:val="1A1A1A"/>
          <w:sz w:val="22"/>
          <w:szCs w:val="22"/>
        </w:rPr>
        <w:t xml:space="preserve">Transparent economics: </w:t>
      </w:r>
      <w:r>
        <w:rPr>
          <w:rFonts w:ascii="Arial" w:cs="Arial" w:eastAsia="Arial" w:hAnsi="Arial"/>
          <w:color w:val="1A1A1A"/>
          <w:sz w:val="22"/>
          <w:szCs w:val="22"/>
        </w:rPr>
        <w:t xml:space="preserve">On-chain fund flows make the entire economic model auditable by anyone, building the trust required for sustained commercial and donor support.</w:t>
      </w:r>
    </w:p>
    <w:p>
      <w:pPr>
        <w:pStyle w:val="Heading1"/>
        <w:spacing w:before="360" w:after="200"/>
      </w:pPr>
      <w:r>
        <w:rPr>
          <w:rFonts w:ascii="Arial" w:cs="Arial" w:eastAsia="Arial" w:hAnsi="Arial"/>
          <w:b/>
          <w:bCs/>
          <w:color w:val="1B2A4A"/>
          <w:sz w:val="32"/>
          <w:szCs w:val="32"/>
        </w:rPr>
        <w:t xml:space="preserve">6. Why This Must Be on Hedera</w:t>
      </w:r>
    </w:p>
    <w:p>
      <w:pPr>
        <w:spacing w:before="60" w:after="100" w:line="300"/>
      </w:pPr>
      <w:r>
        <w:rPr>
          <w:rFonts w:ascii="Arial" w:cs="Arial" w:eastAsia="Arial" w:hAnsi="Arial"/>
          <w:color w:val="1A1A1A"/>
          <w:sz w:val="22"/>
          <w:szCs w:val="22"/>
        </w:rPr>
        <w:t xml:space="preserve">This project could not achieve its goals on a traditional database, and Hedera is the optimal DLT choice for specific, defensible reasons:</w:t>
      </w:r>
    </w:p>
    <w:p>
      <w:pPr>
        <w:pStyle w:val="Heading2"/>
        <w:spacing w:before="280" w:after="160"/>
      </w:pPr>
      <w:r>
        <w:rPr>
          <w:rFonts w:ascii="Arial" w:cs="Arial" w:eastAsia="Arial" w:hAnsi="Arial"/>
          <w:b/>
          <w:bCs/>
          <w:color w:val="8259EF"/>
          <w:sz w:val="26"/>
          <w:szCs w:val="26"/>
        </w:rPr>
        <w:t xml:space="preserve">Why not Web2?</w:t>
      </w:r>
    </w:p>
    <w:p>
      <w:pPr>
        <w:spacing w:before="60" w:after="100" w:line="300"/>
      </w:pPr>
      <w:r>
        <w:rPr>
          <w:rFonts w:ascii="Arial" w:cs="Arial" w:eastAsia="Arial" w:hAnsi="Arial"/>
          <w:color w:val="1A1A1A"/>
          <w:sz w:val="22"/>
          <w:szCs w:val="22"/>
        </w:rPr>
        <w:t xml:space="preserve">A centralized database for fund tracking and knowledge verification creates a single point of trust failure. The entire premise of Prometheus is that communities should not have to trust any single institution. Immutable, publicly auditable records on a decentralized ledger eliminate the need for institutional trust — anyone can verify independently.</w:t>
      </w:r>
    </w:p>
    <w:p>
      <w:pPr>
        <w:pStyle w:val="Heading2"/>
        <w:spacing w:before="280" w:after="160"/>
      </w:pPr>
      <w:r>
        <w:rPr>
          <w:rFonts w:ascii="Arial" w:cs="Arial" w:eastAsia="Arial" w:hAnsi="Arial"/>
          <w:b/>
          <w:bCs/>
          <w:color w:val="8259EF"/>
          <w:sz w:val="26"/>
          <w:szCs w:val="26"/>
        </w:rPr>
        <w:t xml:space="preserve">Why not Ethereum or other L1s?</w:t>
      </w:r>
    </w:p>
    <w:p>
      <w:pPr>
        <w:pStyle w:val="ListParagraph"/>
        <w:numPr>
          <w:ilvl w:val="0"/>
          <w:numId w:val="2"/>
        </w:numPr>
        <w:spacing w:before="40" w:after="40" w:line="280"/>
      </w:pPr>
      <w:r>
        <w:rPr>
          <w:rFonts w:ascii="Arial" w:cs="Arial" w:eastAsia="Arial" w:hAnsi="Arial"/>
          <w:b/>
          <w:bCs/>
          <w:color w:val="1A1A1A"/>
          <w:sz w:val="22"/>
          <w:szCs w:val="22"/>
        </w:rPr>
        <w:t xml:space="preserve">Cost: </w:t>
      </w:r>
      <w:r>
        <w:rPr>
          <w:rFonts w:ascii="Arial" w:cs="Arial" w:eastAsia="Arial" w:hAnsi="Arial"/>
          <w:color w:val="1A1A1A"/>
          <w:sz w:val="22"/>
          <w:szCs w:val="22"/>
        </w:rPr>
        <w:t xml:space="preserve">Prometheus transactions must be low-cost enough that fund tracking and knowledge verification don’t consume the humanitarian budget. HCS messages cost ~$0.0001. Ethereum L1 equivalents would be orders of magnitude more expensive.</w:t>
      </w:r>
    </w:p>
    <w:p>
      <w:pPr>
        <w:pStyle w:val="ListParagraph"/>
        <w:numPr>
          <w:ilvl w:val="0"/>
          <w:numId w:val="2"/>
        </w:numPr>
        <w:spacing w:before="40" w:after="40" w:line="280"/>
      </w:pPr>
      <w:r>
        <w:rPr>
          <w:rFonts w:ascii="Arial" w:cs="Arial" w:eastAsia="Arial" w:hAnsi="Arial"/>
          <w:b/>
          <w:bCs/>
          <w:color w:val="1A1A1A"/>
          <w:sz w:val="22"/>
          <w:szCs w:val="22"/>
        </w:rPr>
        <w:t xml:space="preserve">Carbon coherence: </w:t>
      </w:r>
      <w:r>
        <w:rPr>
          <w:rFonts w:ascii="Arial" w:cs="Arial" w:eastAsia="Arial" w:hAnsi="Arial"/>
          <w:color w:val="1A1A1A"/>
          <w:sz w:val="22"/>
          <w:szCs w:val="22"/>
        </w:rPr>
        <w:t xml:space="preserve">A project built on seven-generation stewardship principles cannot anchor to an energy-intensive chain. Hedera’s hashgraph consensus is carbon-negative — full ethical alignment.</w:t>
      </w:r>
    </w:p>
    <w:p>
      <w:pPr>
        <w:pStyle w:val="ListParagraph"/>
        <w:numPr>
          <w:ilvl w:val="0"/>
          <w:numId w:val="2"/>
        </w:numPr>
        <w:spacing w:before="40" w:after="40" w:line="280"/>
      </w:pPr>
      <w:r>
        <w:rPr>
          <w:rFonts w:ascii="Arial" w:cs="Arial" w:eastAsia="Arial" w:hAnsi="Arial"/>
          <w:b/>
          <w:bCs/>
          <w:color w:val="1A1A1A"/>
          <w:sz w:val="22"/>
          <w:szCs w:val="22"/>
        </w:rPr>
        <w:t xml:space="preserve">Speed and finality: </w:t>
      </w:r>
      <w:r>
        <w:rPr>
          <w:rFonts w:ascii="Arial" w:cs="Arial" w:eastAsia="Arial" w:hAnsi="Arial"/>
          <w:color w:val="1A1A1A"/>
          <w:sz w:val="22"/>
          <w:szCs w:val="22"/>
        </w:rPr>
        <w:t xml:space="preserve">Sub-second finality means knowledge verification and fund confirmations happen in real time, not in block-time delays.</w:t>
      </w:r>
    </w:p>
    <w:p>
      <w:pPr>
        <w:pStyle w:val="ListParagraph"/>
        <w:numPr>
          <w:ilvl w:val="0"/>
          <w:numId w:val="2"/>
        </w:numPr>
        <w:spacing w:before="40" w:after="40" w:line="280"/>
      </w:pPr>
      <w:r>
        <w:rPr>
          <w:rFonts w:ascii="Arial" w:cs="Arial" w:eastAsia="Arial" w:hAnsi="Arial"/>
          <w:b/>
          <w:bCs/>
          <w:color w:val="1A1A1A"/>
          <w:sz w:val="22"/>
          <w:szCs w:val="22"/>
        </w:rPr>
        <w:t xml:space="preserve">Enterprise credibility: </w:t>
      </w:r>
      <w:r>
        <w:rPr>
          <w:rFonts w:ascii="Arial" w:cs="Arial" w:eastAsia="Arial" w:hAnsi="Arial"/>
          <w:color w:val="1A1A1A"/>
          <w:sz w:val="22"/>
          <w:szCs w:val="22"/>
        </w:rPr>
        <w:t xml:space="preserve">Humanitarian organizations and partner NGOs require enterprise-grade reliability. Hedera’s governance council and uptime record provide the institutional confidence needed for deployment partnerships.</w:t>
      </w:r>
    </w:p>
    <w:p>
      <w:pPr>
        <w:pStyle w:val="Heading1"/>
        <w:spacing w:before="360" w:after="200"/>
      </w:pPr>
      <w:r>
        <w:rPr>
          <w:rFonts w:ascii="Arial" w:cs="Arial" w:eastAsia="Arial" w:hAnsi="Arial"/>
          <w:b/>
          <w:bCs/>
          <w:color w:val="1B2A4A"/>
          <w:sz w:val="32"/>
          <w:szCs w:val="32"/>
        </w:rPr>
        <w:t xml:space="preserve">7. 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8259E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8259E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Value Proposition</w:t>
            </w:r>
          </w:p>
        </w:tc>
        <w:tc>
          <w:tcPr>
            <w:tcW w:type="dxa" w:w="656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Community-owned, offline-first AI survival intelligence with verifiable knowledge integrity and transparent humanitarian 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Customer Segments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(1) Preparedness-minded families and individuals. (2) Remote/rural clinics and community health workers. (3) Humanitarian organizations. (4) Military/first responder units. (5) Educators and STEM programs.</w:t>
            </w:r>
          </w:p>
        </w:tc>
      </w:tr>
      <w:tr>
        <w:tc>
          <w:tcPr>
            <w:tcW w:type="dxa" w:w="280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Revenue Streams</w:t>
            </w:r>
          </w:p>
        </w:tc>
        <w:tc>
          <w:tcPr>
            <w:tcW w:type="dxa" w:w="656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Ready-made device sales ($500–$700). Regional knowledge pack subscriptions (optional). Custom configuration services for organizations. Grants and philanthropic funding.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Cost 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Hardware BOM ($200–$410/device). Assembly and QA labor. Knowledge base curation. Shipping and logistics. Hedera network fees (minimal).</w:t>
            </w:r>
          </w:p>
        </w:tc>
      </w:tr>
      <w:tr>
        <w:tc>
          <w:tcPr>
            <w:tcW w:type="dxa" w:w="280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Impact Mechanism</w:t>
            </w:r>
          </w:p>
        </w:tc>
        <w:tc>
          <w:tcPr>
            <w:tcW w:type="dxa" w:w="656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20% of each commercial sale funds a device for an underserved community. All fund flows tracked on-chain via HTS. Partner orgs confirm deployment on-chain.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Key Partners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1A1A1A"/>
                <w:sz w:val="20"/>
                <w:szCs w:val="20"/>
              </w:rPr>
              <w:t xml:space="preserve">Humanitarian NGOs (deployment). Domain experts (curation). Open-source community (development). Hedera ecosystem (infrastructure).</w:t>
            </w:r>
          </w:p>
        </w:tc>
      </w:tr>
      <w:tr>
        <w:tc>
          <w:tcPr>
            <w:tcW w:type="dxa" w:w="280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Competitive Moat</w:t>
            </w:r>
          </w:p>
        </w:tc>
        <w:tc>
          <w:tcPr>
            <w:tcW w:type="dxa" w:w="6560"/>
            <w:tcBorders>
              <w:top w:val="single" w:color="CCCCCC" w:sz="1"/>
              <w:left w:val="single" w:color="CCCCCC" w:sz="1"/>
              <w:bottom w:val="single" w:color="CCCCCC" w:sz="1"/>
              <w:right w:val="single" w:color="CCCCCC" w:sz="1"/>
            </w:tcBorders>
            <w:shd w:fill="EDE8FC" w:val="clear"/>
            <w:tcMar>
              <w:top w:type="dxa" w:w="80"/>
              <w:left w:type="dxa" w:w="120"/>
              <w:bottom w:type="dxa" w:w="80"/>
              <w:right w:type="dxa" w:w="120"/>
            </w:tcMar>
          </w:tcPr>
          <w:p>
            <w:pPr>
              <w:spacing w:before="20" w:after="20"/>
            </w:pPr>
            <w:r>
              <w:rPr>
                <w:rFonts w:ascii="Arial" w:cs="Arial" w:eastAsia="Arial" w:hAnsi="Arial"/>
                <w:color w:val="1A1A1A"/>
                <w:sz w:val="20"/>
                <w:szCs w:val="20"/>
              </w:rPr>
              <w:t xml:space="preserve">Open-source + Hedera trust layer. Cannot be undercut on price (BOM is public). Cannot be outcompeted on trust (fund flows are on-chain). Moat is community, not IP.</w:t>
            </w:r>
          </w:p>
        </w:tc>
      </w:tr>
    </w:tbl>
    <w:p>
      <w:pPr>
        <w:pStyle w:val="Heading1"/>
        <w:spacing w:before="360" w:after="200"/>
      </w:pPr>
      <w:r>
        <w:rPr>
          <w:rFonts w:ascii="Arial" w:cs="Arial" w:eastAsia="Arial" w:hAnsi="Arial"/>
          <w:b/>
          <w:bCs/>
          <w:color w:val="1B2A4A"/>
          <w:sz w:val="32"/>
          <w:szCs w:val="32"/>
        </w:rPr>
        <w:t xml:space="preserve">8. Roadmap</w:t>
      </w:r>
    </w:p>
    <w:p>
      <w:pPr>
        <w:pStyle w:val="Heading2"/>
        <w:spacing w:before="280" w:after="160"/>
      </w:pPr>
      <w:r>
        <w:rPr>
          <w:rFonts w:ascii="Arial" w:cs="Arial" w:eastAsia="Arial" w:hAnsi="Arial"/>
          <w:b/>
          <w:bCs/>
          <w:color w:val="8259EF"/>
          <w:sz w:val="26"/>
          <w:szCs w:val="26"/>
        </w:rPr>
        <w:t xml:space="preserve">Phase 1: Hackathon MVP (Current)</w:t>
      </w:r>
    </w:p>
    <w:p>
      <w:pPr>
        <w:pStyle w:val="ListParagraph"/>
        <w:numPr>
          <w:ilvl w:val="0"/>
          <w:numId w:val="2"/>
        </w:numPr>
        <w:spacing w:before="40" w:after="40" w:line="280"/>
      </w:pPr>
      <w:r>
        <w:rPr>
          <w:rFonts w:ascii="Arial" w:cs="Arial" w:eastAsia="Arial" w:hAnsi="Arial"/>
          <w:color w:val="1A1A1A"/>
          <w:sz w:val="22"/>
          <w:szCs w:val="22"/>
        </w:rPr>
        <w:t xml:space="preserve">Smart contract for automated fund allocation with configurable split ratios.</w:t>
      </w:r>
    </w:p>
    <w:p>
      <w:pPr>
        <w:pStyle w:val="ListParagraph"/>
        <w:numPr>
          <w:ilvl w:val="0"/>
          <w:numId w:val="2"/>
        </w:numPr>
        <w:spacing w:before="40" w:after="40" w:line="280"/>
      </w:pPr>
      <w:r>
        <w:rPr>
          <w:rFonts w:ascii="Arial" w:cs="Arial" w:eastAsia="Arial" w:hAnsi="Arial"/>
          <w:color w:val="1A1A1A"/>
          <w:sz w:val="22"/>
          <w:szCs w:val="22"/>
        </w:rPr>
        <w:t xml:space="preserve">HCS-based knowledge base hash anchoring and verification flow.</w:t>
      </w:r>
    </w:p>
    <w:p>
      <w:pPr>
        <w:pStyle w:val="ListParagraph"/>
        <w:numPr>
          <w:ilvl w:val="0"/>
          <w:numId w:val="2"/>
        </w:numPr>
        <w:spacing w:before="40" w:after="40" w:line="280"/>
      </w:pPr>
      <w:r>
        <w:rPr>
          <w:rFonts w:ascii="Arial" w:cs="Arial" w:eastAsia="Arial" w:hAnsi="Arial"/>
          <w:color w:val="1A1A1A"/>
          <w:sz w:val="22"/>
          <w:szCs w:val="22"/>
        </w:rPr>
        <w:t xml:space="preserve">HTS impact token minting on confirmed deployments.</w:t>
      </w:r>
    </w:p>
    <w:p>
      <w:pPr>
        <w:pStyle w:val="ListParagraph"/>
        <w:numPr>
          <w:ilvl w:val="0"/>
          <w:numId w:val="2"/>
        </w:numPr>
        <w:spacing w:before="40" w:after="40" w:line="280"/>
      </w:pPr>
      <w:r>
        <w:rPr>
          <w:rFonts w:ascii="Arial" w:cs="Arial" w:eastAsia="Arial" w:hAnsi="Arial"/>
          <w:color w:val="1A1A1A"/>
          <w:sz w:val="22"/>
          <w:szCs w:val="22"/>
        </w:rPr>
        <w:t xml:space="preserve">Mirror Node-powered public transparency dashboard (web UI).</w:t>
      </w:r>
    </w:p>
    <w:p>
      <w:pPr>
        <w:pStyle w:val="ListParagraph"/>
        <w:numPr>
          <w:ilvl w:val="0"/>
          <w:numId w:val="2"/>
        </w:numPr>
        <w:spacing w:before="40" w:after="40" w:line="280"/>
      </w:pPr>
      <w:r>
        <w:rPr>
          <w:rFonts w:ascii="Arial" w:cs="Arial" w:eastAsia="Arial" w:hAnsi="Arial"/>
          <w:color w:val="1A1A1A"/>
          <w:sz w:val="22"/>
          <w:szCs w:val="22"/>
        </w:rPr>
        <w:t xml:space="preserve">Proof-of-concept device with local hash verification against HCS.</w:t>
      </w:r>
    </w:p>
    <w:p>
      <w:pPr>
        <w:pStyle w:val="Heading2"/>
        <w:spacing w:before="280" w:after="160"/>
      </w:pPr>
      <w:r>
        <w:rPr>
          <w:rFonts w:ascii="Arial" w:cs="Arial" w:eastAsia="Arial" w:hAnsi="Arial"/>
          <w:b/>
          <w:bCs/>
          <w:color w:val="8259EF"/>
          <w:sz w:val="26"/>
          <w:szCs w:val="26"/>
        </w:rPr>
        <w:t xml:space="preserve">Phase 2: Post-Hackathon (Q2–Q3 2026)</w:t>
      </w:r>
    </w:p>
    <w:p>
      <w:pPr>
        <w:pStyle w:val="ListParagraph"/>
        <w:numPr>
          <w:ilvl w:val="0"/>
          <w:numId w:val="2"/>
        </w:numPr>
        <w:spacing w:before="40" w:after="40" w:line="280"/>
      </w:pPr>
      <w:r>
        <w:rPr>
          <w:rFonts w:ascii="Arial" w:cs="Arial" w:eastAsia="Arial" w:hAnsi="Arial"/>
          <w:color w:val="1A1A1A"/>
          <w:sz w:val="22"/>
          <w:szCs w:val="22"/>
        </w:rPr>
        <w:t xml:space="preserve">Governance token framework for knowledge curation voting.</w:t>
      </w:r>
    </w:p>
    <w:p>
      <w:pPr>
        <w:pStyle w:val="ListParagraph"/>
        <w:numPr>
          <w:ilvl w:val="0"/>
          <w:numId w:val="2"/>
        </w:numPr>
        <w:spacing w:before="40" w:after="40" w:line="280"/>
      </w:pPr>
      <w:r>
        <w:rPr>
          <w:rFonts w:ascii="Arial" w:cs="Arial" w:eastAsia="Arial" w:hAnsi="Arial"/>
          <w:color w:val="1A1A1A"/>
          <w:sz w:val="22"/>
          <w:szCs w:val="22"/>
        </w:rPr>
        <w:t xml:space="preserve">Partnership development with 2–3 humanitarian organizations for pilot deployments.</w:t>
      </w:r>
    </w:p>
    <w:p>
      <w:pPr>
        <w:pStyle w:val="ListParagraph"/>
        <w:numPr>
          <w:ilvl w:val="0"/>
          <w:numId w:val="2"/>
        </w:numPr>
        <w:spacing w:before="40" w:after="40" w:line="280"/>
      </w:pPr>
      <w:r>
        <w:rPr>
          <w:rFonts w:ascii="Arial" w:cs="Arial" w:eastAsia="Arial" w:hAnsi="Arial"/>
          <w:color w:val="1A1A1A"/>
          <w:sz w:val="22"/>
          <w:szCs w:val="22"/>
        </w:rPr>
        <w:t xml:space="preserve">Regional knowledge pack curation for 3 pilot regions.</w:t>
      </w:r>
    </w:p>
    <w:p>
      <w:pPr>
        <w:pStyle w:val="ListParagraph"/>
        <w:numPr>
          <w:ilvl w:val="0"/>
          <w:numId w:val="2"/>
        </w:numPr>
        <w:spacing w:before="40" w:after="40" w:line="280"/>
      </w:pPr>
      <w:r>
        <w:rPr>
          <w:rFonts w:ascii="Arial" w:cs="Arial" w:eastAsia="Arial" w:hAnsi="Arial"/>
          <w:color w:val="1A1A1A"/>
          <w:sz w:val="22"/>
          <w:szCs w:val="22"/>
        </w:rPr>
        <w:t xml:space="preserve">Nonprofit entity formation and legal framework.</w:t>
      </w:r>
    </w:p>
    <w:p>
      <w:pPr>
        <w:pStyle w:val="ListParagraph"/>
        <w:numPr>
          <w:ilvl w:val="0"/>
          <w:numId w:val="2"/>
        </w:numPr>
        <w:spacing w:before="40" w:after="40" w:line="280"/>
      </w:pPr>
      <w:r>
        <w:rPr>
          <w:rFonts w:ascii="Arial" w:cs="Arial" w:eastAsia="Arial" w:hAnsi="Arial"/>
          <w:color w:val="1A1A1A"/>
          <w:sz w:val="22"/>
          <w:szCs w:val="22"/>
        </w:rPr>
        <w:t xml:space="preserve">Community builder program — open-source build guides with verification integration.</w:t>
      </w:r>
    </w:p>
    <w:p>
      <w:pPr>
        <w:pStyle w:val="Heading2"/>
        <w:spacing w:before="280" w:after="160"/>
      </w:pPr>
      <w:r>
        <w:rPr>
          <w:rFonts w:ascii="Arial" w:cs="Arial" w:eastAsia="Arial" w:hAnsi="Arial"/>
          <w:b/>
          <w:bCs/>
          <w:color w:val="8259EF"/>
          <w:sz w:val="26"/>
          <w:szCs w:val="26"/>
        </w:rPr>
        <w:t xml:space="preserve">Phase 3: Scale (Q4 2026– 2027)</w:t>
      </w:r>
    </w:p>
    <w:p>
      <w:pPr>
        <w:pStyle w:val="ListParagraph"/>
        <w:numPr>
          <w:ilvl w:val="0"/>
          <w:numId w:val="2"/>
        </w:numPr>
        <w:spacing w:before="40" w:after="40" w:line="280"/>
      </w:pPr>
      <w:r>
        <w:rPr>
          <w:rFonts w:ascii="Arial" w:cs="Arial" w:eastAsia="Arial" w:hAnsi="Arial"/>
          <w:color w:val="1A1A1A"/>
          <w:sz w:val="22"/>
          <w:szCs w:val="22"/>
        </w:rPr>
        <w:t xml:space="preserve">First commercial device sales with on-chain impact tracking live.</w:t>
      </w:r>
    </w:p>
    <w:p>
      <w:pPr>
        <w:pStyle w:val="ListParagraph"/>
        <w:numPr>
          <w:ilvl w:val="0"/>
          <w:numId w:val="2"/>
        </w:numPr>
        <w:spacing w:before="40" w:after="40" w:line="280"/>
      </w:pPr>
      <w:r>
        <w:rPr>
          <w:rFonts w:ascii="Arial" w:cs="Arial" w:eastAsia="Arial" w:hAnsi="Arial"/>
          <w:color w:val="1A1A1A"/>
          <w:sz w:val="22"/>
          <w:szCs w:val="22"/>
        </w:rPr>
        <w:t xml:space="preserve">First funded deployments to partner communities with on-chain confirmation.</w:t>
      </w:r>
    </w:p>
    <w:p>
      <w:pPr>
        <w:pStyle w:val="ListParagraph"/>
        <w:numPr>
          <w:ilvl w:val="0"/>
          <w:numId w:val="2"/>
        </w:numPr>
        <w:spacing w:before="40" w:after="40" w:line="280"/>
      </w:pPr>
      <w:r>
        <w:rPr>
          <w:rFonts w:ascii="Arial" w:cs="Arial" w:eastAsia="Arial" w:hAnsi="Arial"/>
          <w:color w:val="1A1A1A"/>
          <w:sz w:val="22"/>
          <w:szCs w:val="22"/>
        </w:rPr>
        <w:t xml:space="preserve">Cultural sovereignty consent framework for indigenous knowledge contributions.</w:t>
      </w:r>
    </w:p>
    <w:p>
      <w:pPr>
        <w:pStyle w:val="ListParagraph"/>
        <w:numPr>
          <w:ilvl w:val="0"/>
          <w:numId w:val="2"/>
        </w:numPr>
        <w:spacing w:before="40" w:after="40" w:line="280"/>
      </w:pPr>
      <w:r>
        <w:rPr>
          <w:rFonts w:ascii="Arial" w:cs="Arial" w:eastAsia="Arial" w:hAnsi="Arial"/>
          <w:color w:val="1A1A1A"/>
          <w:sz w:val="22"/>
          <w:szCs w:val="22"/>
        </w:rPr>
        <w:t xml:space="preserve">Mesh networking integration for device-to-device communication (LoRa).</w:t>
      </w:r>
    </w:p>
    <w:p>
      <w:pPr>
        <w:pStyle w:val="ListParagraph"/>
        <w:numPr>
          <w:ilvl w:val="0"/>
          <w:numId w:val="2"/>
        </w:numPr>
        <w:spacing w:before="40" w:after="40" w:line="280"/>
      </w:pPr>
      <w:r>
        <w:rPr>
          <w:rFonts w:ascii="Arial" w:cs="Arial" w:eastAsia="Arial" w:hAnsi="Arial"/>
          <w:color w:val="1A1A1A"/>
          <w:sz w:val="22"/>
          <w:szCs w:val="22"/>
        </w:rPr>
        <w:t xml:space="preserve">Expansion to 10+ regional knowledge packs with community-driven curation.</w:t>
      </w:r>
    </w:p>
    <w:p>
      <w:pPr>
        <w:pStyle w:val="Heading2"/>
        <w:spacing w:before="280" w:after="160"/>
      </w:pPr>
      <w:r>
        <w:rPr>
          <w:rFonts w:ascii="Arial" w:cs="Arial" w:eastAsia="Arial" w:hAnsi="Arial"/>
          <w:b/>
          <w:bCs/>
          <w:color w:val="8259EF"/>
          <w:sz w:val="26"/>
          <w:szCs w:val="26"/>
        </w:rPr>
        <w:t xml:space="preserve">Long-Term Vision</w:t>
      </w:r>
    </w:p>
    <w:p>
      <w:pPr>
        <w:spacing w:before="60" w:after="100" w:line="300"/>
      </w:pPr>
      <w:r>
        <w:rPr>
          <w:rFonts w:ascii="Arial" w:cs="Arial" w:eastAsia="Arial" w:hAnsi="Arial"/>
          <w:color w:val="1A1A1A"/>
          <w:sz w:val="22"/>
          <w:szCs w:val="22"/>
        </w:rPr>
        <w:t xml:space="preserve">A global network of community-owned AI field brains, with every device’s knowledge integrity verifiable on Hedera, every humanitarian deployment transparent and auditable, and every curation decision governed by the communities the system serves. The trust layer outlasts any single organization because it lives on Hedera’s public ledger — immutable, permanent, and owned by no one.</w:t>
      </w:r>
    </w:p>
    <w:p>
      <w:pPr>
        <w:pStyle w:val="Heading1"/>
        <w:spacing w:before="360" w:after="200"/>
      </w:pPr>
      <w:r>
        <w:rPr>
          <w:rFonts w:ascii="Arial" w:cs="Arial" w:eastAsia="Arial" w:hAnsi="Arial"/>
          <w:b/>
          <w:bCs/>
          <w:color w:val="1B2A4A"/>
          <w:sz w:val="32"/>
          <w:szCs w:val="32"/>
        </w:rPr>
        <w:t xml:space="preserve">9. Go-To-Market Strategy</w:t>
      </w:r>
    </w:p>
    <w:p>
      <w:pPr>
        <w:pStyle w:val="Heading2"/>
        <w:spacing w:before="280" w:after="160"/>
      </w:pPr>
      <w:r>
        <w:rPr>
          <w:rFonts w:ascii="Arial" w:cs="Arial" w:eastAsia="Arial" w:hAnsi="Arial"/>
          <w:b/>
          <w:bCs/>
          <w:color w:val="8259EF"/>
          <w:sz w:val="26"/>
          <w:szCs w:val="26"/>
        </w:rPr>
        <w:t xml:space="preserve">Phase 1: Community Seeding</w:t>
      </w:r>
    </w:p>
    <w:p>
      <w:pPr>
        <w:pStyle w:val="ListParagraph"/>
        <w:numPr>
          <w:ilvl w:val="0"/>
          <w:numId w:val="2"/>
        </w:numPr>
        <w:spacing w:before="40" w:after="40" w:line="280"/>
      </w:pPr>
      <w:r>
        <w:rPr>
          <w:rFonts w:ascii="Arial" w:cs="Arial" w:eastAsia="Arial" w:hAnsi="Arial"/>
          <w:color w:val="1A1A1A"/>
          <w:sz w:val="22"/>
          <w:szCs w:val="22"/>
        </w:rPr>
        <w:t xml:space="preserve">Release the white paper and open-source architecture to maker communities, humanitarian tech forums, and Hedera developer channels.</w:t>
      </w:r>
    </w:p>
    <w:p>
      <w:pPr>
        <w:pStyle w:val="ListParagraph"/>
        <w:numPr>
          <w:ilvl w:val="0"/>
          <w:numId w:val="2"/>
        </w:numPr>
        <w:spacing w:before="40" w:after="40" w:line="280"/>
      </w:pPr>
      <w:r>
        <w:rPr>
          <w:rFonts w:ascii="Arial" w:cs="Arial" w:eastAsia="Arial" w:hAnsi="Arial"/>
          <w:color w:val="1A1A1A"/>
          <w:sz w:val="22"/>
          <w:szCs w:val="22"/>
        </w:rPr>
        <w:t xml:space="preserve">Engage early adopters in the preparedness and off-grid communities who are already buying inferior products (DoomsDay USB, PrepStick, SurvivalNet) at similar price points.</w:t>
      </w:r>
    </w:p>
    <w:p>
      <w:pPr>
        <w:pStyle w:val="ListParagraph"/>
        <w:numPr>
          <w:ilvl w:val="0"/>
          <w:numId w:val="2"/>
        </w:numPr>
        <w:spacing w:before="40" w:after="40" w:line="280"/>
      </w:pPr>
      <w:r>
        <w:rPr>
          <w:rFonts w:ascii="Arial" w:cs="Arial" w:eastAsia="Arial" w:hAnsi="Arial"/>
          <w:color w:val="1A1A1A"/>
          <w:sz w:val="22"/>
          <w:szCs w:val="22"/>
        </w:rPr>
        <w:t xml:space="preserve">Leverage Hedera ecosystem visibility from the Hackathon for initial awareness.</w:t>
      </w:r>
    </w:p>
    <w:p>
      <w:pPr>
        <w:pStyle w:val="Heading2"/>
        <w:spacing w:before="280" w:after="160"/>
      </w:pPr>
      <w:r>
        <w:rPr>
          <w:rFonts w:ascii="Arial" w:cs="Arial" w:eastAsia="Arial" w:hAnsi="Arial"/>
          <w:b/>
          <w:bCs/>
          <w:color w:val="8259EF"/>
          <w:sz w:val="26"/>
          <w:szCs w:val="26"/>
        </w:rPr>
        <w:t xml:space="preserve">Phase 2: Partnership-Driven Deployment</w:t>
      </w:r>
    </w:p>
    <w:p>
      <w:pPr>
        <w:pStyle w:val="ListParagraph"/>
        <w:numPr>
          <w:ilvl w:val="0"/>
          <w:numId w:val="2"/>
        </w:numPr>
        <w:spacing w:before="40" w:after="40" w:line="280"/>
      </w:pPr>
      <w:r>
        <w:rPr>
          <w:rFonts w:ascii="Arial" w:cs="Arial" w:eastAsia="Arial" w:hAnsi="Arial"/>
          <w:color w:val="1A1A1A"/>
          <w:sz w:val="22"/>
          <w:szCs w:val="22"/>
        </w:rPr>
        <w:t xml:space="preserve">Partner with 2–3 humanitarian organizations for pilot deployments, generating impact data and case studies.</w:t>
      </w:r>
    </w:p>
    <w:p>
      <w:pPr>
        <w:pStyle w:val="ListParagraph"/>
        <w:numPr>
          <w:ilvl w:val="0"/>
          <w:numId w:val="2"/>
        </w:numPr>
        <w:spacing w:before="40" w:after="40" w:line="280"/>
      </w:pPr>
      <w:r>
        <w:rPr>
          <w:rFonts w:ascii="Arial" w:cs="Arial" w:eastAsia="Arial" w:hAnsi="Arial"/>
          <w:color w:val="1A1A1A"/>
          <w:sz w:val="22"/>
          <w:szCs w:val="22"/>
        </w:rPr>
        <w:t xml:space="preserve">Use on-chain transparency as the primary trust signal for donor and partner acquisition.</w:t>
      </w:r>
    </w:p>
    <w:p>
      <w:pPr>
        <w:pStyle w:val="Heading2"/>
        <w:spacing w:before="280" w:after="160"/>
      </w:pPr>
      <w:r>
        <w:rPr>
          <w:rFonts w:ascii="Arial" w:cs="Arial" w:eastAsia="Arial" w:hAnsi="Arial"/>
          <w:b/>
          <w:bCs/>
          <w:color w:val="8259EF"/>
          <w:sz w:val="26"/>
          <w:szCs w:val="26"/>
        </w:rPr>
        <w:t xml:space="preserve">Phase 3: Earned Media &amp; Advocacy</w:t>
      </w:r>
    </w:p>
    <w:p>
      <w:pPr>
        <w:pStyle w:val="ListParagraph"/>
        <w:numPr>
          <w:ilvl w:val="0"/>
          <w:numId w:val="2"/>
        </w:numPr>
        <w:spacing w:before="40" w:after="40" w:line="280"/>
      </w:pPr>
      <w:r>
        <w:rPr>
          <w:rFonts w:ascii="Arial" w:cs="Arial" w:eastAsia="Arial" w:hAnsi="Arial"/>
          <w:color w:val="1A1A1A"/>
          <w:sz w:val="22"/>
          <w:szCs w:val="22"/>
        </w:rPr>
        <w:t xml:space="preserve">The buy-one-fund-one model with full on-chain transparency is inherently newsworthy. Position Prometheus at the intersection of AI, humanitarian tech, and blockchain — a narrative that media covers organically.</w:t>
      </w:r>
    </w:p>
    <w:p>
      <w:pPr>
        <w:pStyle w:val="ListParagraph"/>
        <w:numPr>
          <w:ilvl w:val="0"/>
          <w:numId w:val="2"/>
        </w:numPr>
        <w:spacing w:before="40" w:after="40" w:line="280"/>
      </w:pPr>
      <w:r>
        <w:rPr>
          <w:rFonts w:ascii="Arial" w:cs="Arial" w:eastAsia="Arial" w:hAnsi="Arial"/>
          <w:color w:val="1A1A1A"/>
          <w:sz w:val="22"/>
          <w:szCs w:val="22"/>
        </w:rPr>
        <w:t xml:space="preserve">Science fair program creates grassroots evangelism through education channels.</w:t>
      </w:r>
    </w:p>
    <w:p>
      <w:pPr>
        <w:pStyle w:val="Heading1"/>
        <w:spacing w:before="360" w:after="200"/>
      </w:pPr>
      <w:r>
        <w:rPr>
          <w:rFonts w:ascii="Arial" w:cs="Arial" w:eastAsia="Arial" w:hAnsi="Arial"/>
          <w:b/>
          <w:bCs/>
          <w:color w:val="1B2A4A"/>
          <w:sz w:val="32"/>
          <w:szCs w:val="32"/>
        </w:rPr>
        <w:t xml:space="preserve">10. Team &amp; Feasibility</w:t>
      </w:r>
    </w:p>
    <w:p>
      <w:pPr>
        <w:spacing w:before="60" w:after="100" w:line="300"/>
      </w:pPr>
      <w:r>
        <w:rPr>
          <w:rFonts w:ascii="Arial" w:cs="Arial" w:eastAsia="Arial" w:hAnsi="Arial"/>
          <w:color w:val="1A1A1A"/>
          <w:sz w:val="22"/>
          <w:szCs w:val="22"/>
        </w:rPr>
        <w:t xml:space="preserve">The founding team brings a rare combination of clinical medicine, systems thinking, and decentralized technology understanding:</w:t>
      </w:r>
    </w:p>
    <w:p>
      <w:pPr>
        <w:pStyle w:val="ListParagraph"/>
        <w:numPr>
          <w:ilvl w:val="0"/>
          <w:numId w:val="2"/>
        </w:numPr>
        <w:spacing w:before="40" w:after="40" w:line="280"/>
      </w:pPr>
      <w:r>
        <w:rPr>
          <w:rFonts w:ascii="Arial" w:cs="Arial" w:eastAsia="Arial" w:hAnsi="Arial"/>
          <w:b/>
          <w:bCs/>
          <w:color w:val="1A1A1A"/>
          <w:sz w:val="22"/>
          <w:szCs w:val="22"/>
        </w:rPr>
        <w:t xml:space="preserve">Clinical credibility: </w:t>
      </w:r>
      <w:r>
        <w:rPr>
          <w:rFonts w:ascii="Arial" w:cs="Arial" w:eastAsia="Arial" w:hAnsi="Arial"/>
          <w:color w:val="1A1A1A"/>
          <w:sz w:val="22"/>
          <w:szCs w:val="22"/>
        </w:rPr>
        <w:t xml:space="preserve">Practicing psychiatrist with a background as a military medic. Direct experience with austere-environment medicine and the knowledge gaps this project addresses.</w:t>
      </w:r>
    </w:p>
    <w:p>
      <w:pPr>
        <w:pStyle w:val="ListParagraph"/>
        <w:numPr>
          <w:ilvl w:val="0"/>
          <w:numId w:val="2"/>
        </w:numPr>
        <w:spacing w:before="40" w:after="40" w:line="280"/>
      </w:pPr>
      <w:r>
        <w:rPr>
          <w:rFonts w:ascii="Arial" w:cs="Arial" w:eastAsia="Arial" w:hAnsi="Arial"/>
          <w:b/>
          <w:bCs/>
          <w:color w:val="1A1A1A"/>
          <w:sz w:val="22"/>
          <w:szCs w:val="22"/>
        </w:rPr>
        <w:t xml:space="preserve">Technical fluency: </w:t>
      </w:r>
      <w:r>
        <w:rPr>
          <w:rFonts w:ascii="Arial" w:cs="Arial" w:eastAsia="Arial" w:hAnsi="Arial"/>
          <w:color w:val="1A1A1A"/>
          <w:sz w:val="22"/>
          <w:szCs w:val="22"/>
        </w:rPr>
        <w:t xml:space="preserve">Currently building Mirror Compass, a digital therapeutic app using AI companions, federated data architecture, and evidence-based intervention design. Experienced with Claude Code as a technical development partner.</w:t>
      </w:r>
    </w:p>
    <w:p>
      <w:pPr>
        <w:pStyle w:val="ListParagraph"/>
        <w:numPr>
          <w:ilvl w:val="0"/>
          <w:numId w:val="2"/>
        </w:numPr>
        <w:spacing w:before="40" w:after="40" w:line="280"/>
      </w:pPr>
      <w:r>
        <w:rPr>
          <w:rFonts w:ascii="Arial" w:cs="Arial" w:eastAsia="Arial" w:hAnsi="Arial"/>
          <w:b/>
          <w:bCs/>
          <w:color w:val="1A1A1A"/>
          <w:sz w:val="22"/>
          <w:szCs w:val="22"/>
        </w:rPr>
        <w:t xml:space="preserve">Ecosystem alignment: </w:t>
      </w:r>
      <w:r>
        <w:rPr>
          <w:rFonts w:ascii="Arial" w:cs="Arial" w:eastAsia="Arial" w:hAnsi="Arial"/>
          <w:color w:val="1A1A1A"/>
          <w:sz w:val="22"/>
          <w:szCs w:val="22"/>
        </w:rPr>
        <w:t xml:space="preserve">Deep understanding of Hedera’s utility-based infrastructure and its potential to democratize access. Intellectual engagement with decentralized systems as humanitarian tools, not speculative instruments.</w:t>
      </w:r>
    </w:p>
    <w:p>
      <w:pPr>
        <w:pStyle w:val="ListParagraph"/>
        <w:numPr>
          <w:ilvl w:val="0"/>
          <w:numId w:val="2"/>
        </w:numPr>
        <w:spacing w:before="40" w:after="40" w:line="280"/>
      </w:pPr>
      <w:r>
        <w:rPr>
          <w:rFonts w:ascii="Arial" w:cs="Arial" w:eastAsia="Arial" w:hAnsi="Arial"/>
          <w:b/>
          <w:bCs/>
          <w:color w:val="1A1A1A"/>
          <w:sz w:val="22"/>
          <w:szCs w:val="22"/>
        </w:rPr>
        <w:t xml:space="preserve">Ethical framework: </w:t>
      </w:r>
      <w:r>
        <w:rPr>
          <w:rFonts w:ascii="Arial" w:cs="Arial" w:eastAsia="Arial" w:hAnsi="Arial"/>
          <w:color w:val="1A1A1A"/>
          <w:sz w:val="22"/>
          <w:szCs w:val="22"/>
        </w:rPr>
        <w:t xml:space="preserve">Seven-generation stewardship philosophy ensures long-horizon decision-making. Open-source commitment is a design principle, not a marketing strategy.</w:t>
      </w:r>
    </w:p>
    <w:p>
      <w:pPr>
        <w:spacing w:before="80" w:after="80"/>
      </w:pPr>
    </w:p>
    <w:p>
      <w:pPr>
        <w:spacing w:before="60" w:after="100" w:line="300"/>
      </w:pPr>
      <w:r>
        <w:rPr>
          <w:rFonts w:ascii="Arial" w:cs="Arial" w:eastAsia="Arial" w:hAnsi="Arial"/>
          <w:color w:val="1A1A1A"/>
          <w:sz w:val="22"/>
          <w:szCs w:val="22"/>
        </w:rPr>
        <w:t xml:space="preserve">The project is feasible because every technical component already exists independently. The innovation is the integration layer — connecting Hedera’s trust infrastructure to a decentralized AI field brain in a way that creates verifiable, sustainable humanitarian impact.</w:t>
      </w:r>
    </w:p>
    <w:p>
      <w:pPr>
        <w:pStyle w:val="Heading1"/>
        <w:spacing w:before="360" w:after="200"/>
      </w:pPr>
      <w:r>
        <w:rPr>
          <w:rFonts w:ascii="Arial" w:cs="Arial" w:eastAsia="Arial" w:hAnsi="Arial"/>
          <w:b/>
          <w:bCs/>
          <w:color w:val="1B2A4A"/>
          <w:sz w:val="32"/>
          <w:szCs w:val="32"/>
        </w:rPr>
        <w:t xml:space="preserve">11. The Invitation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9EF" w:sz="1"/>
              <w:left w:val="single" w:color="8259EF" w:sz="12"/>
              <w:bottom w:val="single" w:color="8259EF" w:sz="1"/>
              <w:right w:val="single" w:color="8259EF" w:sz="1"/>
            </w:tcBorders>
            <w:shd w:fill="EDE8FC" w:val="clear"/>
            <w:tcMar>
              <w:top w:type="dxa" w:w="120"/>
              <w:left w:type="dxa" w:w="200"/>
              <w:bottom w:type="dxa" w:w="120"/>
              <w:right w:type="dxa" w:w="200"/>
            </w:tcMar>
          </w:tcPr>
          <w:p>
            <w:pPr>
              <w:spacing w:after="60"/>
            </w:pPr>
            <w:r>
              <w:rPr>
                <w:rFonts w:ascii="Arial" w:cs="Arial" w:eastAsia="Arial" w:hAnsi="Arial"/>
                <w:b/>
                <w:bCs/>
                <w:color w:val="8259EF"/>
                <w:sz w:val="22"/>
                <w:szCs w:val="22"/>
              </w:rPr>
              <w:t xml:space="preserve">Why This Matters</w:t>
            </w:r>
          </w:p>
          <w:p>
            <w:pPr>
              <w:spacing w:before="40"/>
            </w:pPr>
            <w:r>
              <w:rPr>
                <w:rFonts w:ascii="Arial" w:cs="Arial" w:eastAsia="Arial" w:hAnsi="Arial"/>
                <w:color w:val="4A5568"/>
                <w:sz w:val="20"/>
                <w:szCs w:val="20"/>
              </w:rPr>
              <w:t xml:space="preserve">Somewhere right now, a community health worker is treating a wound with insufficient knowledge. A family displaced by conflict is making survival decisions without access to the information that could save them. A village is losing traditional ecological wisdom because there is no system to preserve and distribute it. Project Prometheus cannot solve all of these problems. But it can build the trust infrastructure that makes a decentralized solution verifiable, sustainable, and accountable. Hedera is the layer that makes the fire trustworthy. Let’s build it.</w:t>
            </w:r>
          </w:p>
        </w:tc>
      </w:tr>
    </w:tbl>
    <w:p>
      <w:pPr>
        <w:spacing w:before="200" w:after="200"/>
      </w:pPr>
    </w:p>
    <w:p>
      <w:pPr>
        <w:pBdr>
          <w:bottom w:val="single" w:color="D5DDE5" w:sz="4" w:space="1"/>
        </w:pBdr>
        <w:spacing w:before="200" w:after="200"/>
      </w:pPr>
    </w:p>
    <w:p>
      <w:pPr>
        <w:spacing w:before="100" w:after="100"/>
      </w:pPr>
    </w:p>
    <w:p>
      <w:pPr>
        <w:spacing w:after="60"/>
        <w:jc w:val="center"/>
      </w:pPr>
      <w:r>
        <w:rPr>
          <w:rFonts w:ascii="Arial" w:cs="Arial" w:eastAsia="Arial" w:hAnsi="Arial"/>
          <w:b/>
          <w:bCs/>
          <w:color w:val="1B2A4A"/>
          <w:sz w:val="20"/>
          <w:szCs w:val="20"/>
        </w:rPr>
        <w:t xml:space="preserve">Project Prometheus  —  The Trust Layer for Decentralized Survival Intelligence</w:t>
      </w:r>
    </w:p>
    <w:p>
      <w:pPr>
        <w:spacing w:after="60"/>
        <w:jc w:val="center"/>
      </w:pPr>
      <w:r>
        <w:rPr>
          <w:rFonts w:ascii="Arial" w:cs="Arial" w:eastAsia="Arial" w:hAnsi="Arial"/>
          <w:color w:val="8259EF"/>
          <w:sz w:val="18"/>
          <w:szCs w:val="18"/>
        </w:rPr>
        <w:t xml:space="preserve">Hedera Hello Future Apex Hackathon 2026  |  Sustainability Track</w:t>
      </w:r>
    </w:p>
    <w:p>
      <w:pPr>
        <w:jc w:val="center"/>
      </w:pPr>
      <w:r>
        <w:rPr>
          <w:rFonts w:ascii="Arial" w:cs="Arial" w:eastAsia="Arial" w:hAnsi="Arial"/>
          <w:i/>
          <w:iCs/>
          <w:color w:val="4A5568"/>
          <w:sz w:val="18"/>
          <w:szCs w:val="18"/>
        </w:rPr>
        <w:t xml:space="preserve">The fire is free. The trust is on-chain. Pass it 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5" w:sz="2" w:space="4"/>
      </w:pBd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Project Prometheus  —  Hedera Apex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8259E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2026-03-11T18:57:30.717Z</dcterms:created>
  <dcterms:modified xsi:type="dcterms:W3CDTF">2026-03-11T18:57:30.718Z</dcterms:modified>
</cp:coreProperties>
</file>

<file path=docProps/custom.xml><?xml version="1.0" encoding="utf-8"?>
<Properties xmlns="http://schemas.openxmlformats.org/officeDocument/2006/custom-properties" xmlns:vt="http://schemas.openxmlformats.org/officeDocument/2006/docPropsVTypes"/>
</file>