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333333"/>
          <w:sz w:val="36"/>
          <w:szCs w:val="36"/>
        </w:rPr>
        <w:t xml:space="preserve">Project Intake Document</w:t>
      </w:r>
    </w:p>
    <w:p>
      <w:pPr>
        <w:spacing w:after="360"/>
      </w:pPr>
      <w:r>
        <w:rPr>
          <w:rFonts w:ascii="Arial" w:cs="Arial" w:eastAsia="Arial" w:hAnsi="Arial"/>
          <w:color w:val="555555"/>
          <w:sz w:val="24"/>
          <w:szCs w:val="24"/>
        </w:rPr>
        <w:t xml:space="preserve">BlueWave Resource Partners — Project Aqueduct</w:t>
      </w:r>
    </w:p>
    <w:p>
      <w:pPr>
        <w:pStyle w:val="Heading1"/>
        <w:spacing w:after="200" w:before="360"/>
      </w:pPr>
      <w:r>
        <w:rPr>
          <w:rFonts w:ascii="Arial" w:cs="Arial" w:eastAsia="Arial" w:hAnsi="Arial"/>
          <w:b/>
          <w:bCs/>
          <w:color w:val="333333"/>
          <w:sz w:val="28"/>
          <w:szCs w:val="28"/>
        </w:rPr>
        <w:t xml:space="preserve">1. Client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Company Name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Mirror Factory (executing entity)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Client Name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BlueWave Resource Partners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Contact Name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Charlie Lewis (CEO/Founder) — primary decision-maker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Contact Title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CEO / Founder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Email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charlie@bluewaverp.com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Phone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(407) 986-5777 (main office)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Website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https://bluewaverp.com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Project 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Existing relationship — Charlie is a long-time friend and informal advisor to Kyle and Bobby (since 2018). First formal engagement.</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Additional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Laura Danforth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President — day-to-day operations lead, present at discovery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Rachel Whitehouse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VP Sales &amp; Recruiting — not present at discovery but key user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Connor Meehan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Recruiting Manager — technical POC, present at discovery, closest to recruiter workflows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Kourtney Gross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Operations Manager — present at discovery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Michael Bowles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CFO — not present at discovery, likely involved in budget approval</w:t>
            </w:r>
          </w:p>
        </w:tc>
      </w:tr>
    </w:tbl>
    <w:p>
      <w:pPr>
        <w:pStyle w:val="Heading1"/>
        <w:spacing w:after="200" w:before="360"/>
      </w:pPr>
      <w:r>
        <w:rPr>
          <w:rFonts w:ascii="Arial" w:cs="Arial" w:eastAsia="Arial" w:hAnsi="Arial"/>
          <w:b/>
          <w:bCs/>
          <w:color w:val="333333"/>
          <w:sz w:val="28"/>
          <w:szCs w:val="28"/>
        </w:rPr>
        <w:t xml:space="preserve">2.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Project Title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Project Aqueduct — AI-Powered Call Triage &amp; Candidate Intelligence System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Brief Description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 proprietary AI software system for BlueWave Resource Partners that handles inbound call triage and routing across multiple caller types (clients, employees, contractors, candidates), integrates with Bullhorn (ATS/CRM) and RingCentral (phone), and writes all context back to existing systems. The system is architected in two layers: </w:t>
            </w:r>
            <w:r>
              <w:rPr>
                <w:rFonts w:ascii="Arial" w:cs="Arial" w:eastAsia="Arial" w:hAnsi="Arial"/>
                <w:b/>
                <w:bCs/>
                <w:sz w:val="22"/>
                <w:szCs w:val="22"/>
              </w:rPr>
              <w:t xml:space="preserve">Layers</w:t>
            </w:r>
            <w:r>
              <w:rPr>
                <w:rFonts w:ascii="Arial" w:cs="Arial" w:eastAsia="Arial" w:hAnsi="Arial"/>
                <w:sz w:val="22"/>
                <w:szCs w:val="22"/>
              </w:rPr>
              <w:t xml:space="preserve"> (Mirror Factory’s reusable platform IP providing context management, agent profiles, rules, integrations, and authoring tools) and </w:t>
            </w:r>
            <w:r>
              <w:rPr>
                <w:rFonts w:ascii="Arial" w:cs="Arial" w:eastAsia="Arial" w:hAnsi="Arial"/>
                <w:b/>
                <w:bCs/>
                <w:sz w:val="22"/>
                <w:szCs w:val="22"/>
              </w:rPr>
              <w:t xml:space="preserve">Aqueduct</w:t>
            </w:r>
            <w:r>
              <w:rPr>
                <w:rFonts w:ascii="Arial" w:cs="Arial" w:eastAsia="Arial" w:hAnsi="Arial"/>
                <w:sz w:val="22"/>
                <w:szCs w:val="22"/>
              </w:rPr>
              <w:t xml:space="preserve"> (Charlie’s IP — the orchestration layer handling routing logic, native ticketing, decision-making, and staffing-specific integrations). The system has two core components: inbound triage and outbound candidate screening. The MVP will focus on inbound triage as proof of concept; outbound screening will be developed in parallel and activated once the inbound foundation is validated. Charlie’s strategic motivation is to own software IP that increases company valuation ahead of a planned exit in ~2 years.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Project Goals / Outcomes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 </w:t>
            </w:r>
            <w:r>
              <w:rPr>
                <w:rFonts w:ascii="Arial" w:cs="Arial" w:eastAsia="Arial" w:hAnsi="Arial"/>
                <w:b/>
                <w:bCs/>
                <w:sz w:val="22"/>
                <w:szCs w:val="22"/>
              </w:rPr>
              <w:t xml:space="preserve">Eliminate low-value inbound call handling</w:t>
            </w:r>
            <w:r>
              <w:rPr>
                <w:rFonts w:ascii="Arial" w:cs="Arial" w:eastAsia="Arial" w:hAnsi="Arial"/>
                <w:sz w:val="22"/>
                <w:szCs w:val="22"/>
              </w:rPr>
              <w:t xml:space="preserve"> — route calls intelligently so recruiters, admins, and sales staff only handle calls that require human judgment.
</w:t>
            </w:r>
            <w:r>
              <w:rPr>
                <w:rFonts w:ascii="Arial" w:cs="Arial" w:eastAsia="Arial" w:hAnsi="Arial"/>
                <w:sz w:val="22"/>
                <w:szCs w:val="22"/>
              </w:rPr>
              <w:t xml:space="preserve">2. </w:t>
            </w:r>
            <w:r>
              <w:rPr>
                <w:rFonts w:ascii="Arial" w:cs="Arial" w:eastAsia="Arial" w:hAnsi="Arial"/>
                <w:b/>
                <w:bCs/>
                <w:sz w:val="22"/>
                <w:szCs w:val="22"/>
              </w:rPr>
              <w:t xml:space="preserve">Increase recruiter capacity 5–10x</w:t>
            </w:r>
            <w:r>
              <w:rPr>
                <w:rFonts w:ascii="Arial" w:cs="Arial" w:eastAsia="Arial" w:hAnsi="Arial"/>
                <w:sz w:val="22"/>
                <w:szCs w:val="22"/>
              </w:rPr>
              <w:t xml:space="preserve"> — from ~1,000 candidates at capacity to intelligently managing 5,000–10,000 through AI-assisted screening and triage.
</w:t>
            </w:r>
            <w:r>
              <w:rPr>
                <w:rFonts w:ascii="Arial" w:cs="Arial" w:eastAsia="Arial" w:hAnsi="Arial"/>
                <w:sz w:val="22"/>
                <w:szCs w:val="22"/>
              </w:rPr>
              <w:t xml:space="preserve">3. </w:t>
            </w:r>
            <w:r>
              <w:rPr>
                <w:rFonts w:ascii="Arial" w:cs="Arial" w:eastAsia="Arial" w:hAnsi="Arial"/>
                <w:b/>
                <w:bCs/>
                <w:sz w:val="22"/>
                <w:szCs w:val="22"/>
              </w:rPr>
              <w:t xml:space="preserve">Compress time-to-qualified-shortlist</w:t>
            </w:r>
            <w:r>
              <w:rPr>
                <w:rFonts w:ascii="Arial" w:cs="Arial" w:eastAsia="Arial" w:hAnsi="Arial"/>
                <w:sz w:val="22"/>
                <w:szCs w:val="22"/>
              </w:rPr>
              <w:t xml:space="preserve"> — from days of manual sorting to under one hour after receiving a new job req (enabled by outbound screening component).
</w:t>
            </w:r>
            <w:r>
              <w:rPr>
                <w:rFonts w:ascii="Arial" w:cs="Arial" w:eastAsia="Arial" w:hAnsi="Arial"/>
                <w:sz w:val="22"/>
                <w:szCs w:val="22"/>
              </w:rPr>
              <w:t xml:space="preserve">4. </w:t>
            </w:r>
            <w:r>
              <w:rPr>
                <w:rFonts w:ascii="Arial" w:cs="Arial" w:eastAsia="Arial" w:hAnsi="Arial"/>
                <w:b/>
                <w:bCs/>
                <w:sz w:val="22"/>
                <w:szCs w:val="22"/>
              </w:rPr>
              <w:t xml:space="preserve">Create standalone software IP</w:t>
            </w:r>
            <w:r>
              <w:rPr>
                <w:rFonts w:ascii="Arial" w:cs="Arial" w:eastAsia="Arial" w:hAnsi="Arial"/>
                <w:sz w:val="22"/>
                <w:szCs w:val="22"/>
              </w:rPr>
              <w:t xml:space="preserve"> — architected as a separable asset on the balance sheet to maximize exit valuation multiple.
</w:t>
            </w:r>
            <w:r>
              <w:rPr>
                <w:rFonts w:ascii="Arial" w:cs="Arial" w:eastAsia="Arial" w:hAnsi="Arial"/>
                <w:sz w:val="22"/>
                <w:szCs w:val="22"/>
              </w:rPr>
              <w:t xml:space="preserve">5. </w:t>
            </w:r>
            <w:r>
              <w:rPr>
                <w:rFonts w:ascii="Arial" w:cs="Arial" w:eastAsia="Arial" w:hAnsi="Arial"/>
                <w:b/>
                <w:bCs/>
                <w:sz w:val="22"/>
                <w:szCs w:val="22"/>
              </w:rPr>
              <w:t xml:space="preserve">Build a native ticketing and context system</w:t>
            </w:r>
            <w:r>
              <w:rPr>
                <w:rFonts w:ascii="Arial" w:cs="Arial" w:eastAsia="Arial" w:hAnsi="Arial"/>
                <w:sz w:val="22"/>
                <w:szCs w:val="22"/>
              </w:rPr>
              <w:t xml:space="preserve"> — every call generates a progressive ticket with contextual summaries tailored to the recipient, enabling warm handoffs to humans.</w:t>
            </w:r>
          </w:p>
        </w:tc>
      </w:tr>
    </w:tbl>
    <w:p>
      <w:pPr>
        <w:pStyle w:val="Heading2"/>
        <w:spacing w:after="120" w:before="240"/>
      </w:pPr>
      <w:r>
        <w:rPr>
          <w:rFonts w:ascii="Arial" w:cs="Arial" w:eastAsia="Arial" w:hAnsi="Arial"/>
          <w:b/>
          <w:bCs/>
          <w:color w:val="555555"/>
          <w:sz w:val="24"/>
          <w:szCs w:val="24"/>
        </w:rPr>
        <w:t xml:space="preserve">Project Requirements / Needs</w:t>
      </w:r>
    </w:p>
    <w:p>
      <w:pPr>
        <w:pStyle w:val="ListParagraph"/>
        <w:numPr>
          <w:ilvl w:val="0"/>
          <w:numId w:val="2"/>
        </w:numPr>
        <w:spacing w:after="60"/>
      </w:pPr>
      <w:r>
        <w:rPr>
          <w:rFonts w:ascii="Arial" w:cs="Arial" w:eastAsia="Arial" w:hAnsi="Arial"/>
          <w:sz w:val="22"/>
          <w:szCs w:val="22"/>
        </w:rPr>
        <w:t xml:space="preserve">Inbound call routing across three paths: Sales, Admin/HR, and Candidates (new and existing)</w:t>
      </w:r>
    </w:p>
    <w:p>
      <w:pPr>
        <w:pStyle w:val="ListParagraph"/>
        <w:numPr>
          <w:ilvl w:val="0"/>
          <w:numId w:val="2"/>
        </w:numPr>
        <w:spacing w:after="60"/>
      </w:pPr>
      <w:r>
        <w:rPr>
          <w:rFonts w:ascii="Arial" w:cs="Arial" w:eastAsia="Arial" w:hAnsi="Arial"/>
          <w:sz w:val="22"/>
          <w:szCs w:val="22"/>
        </w:rPr>
        <w:t xml:space="preserve">AI Receptionist agent that introduces, gathers intent, and routes calls based on configurable rules</w:t>
      </w:r>
    </w:p>
    <w:p>
      <w:pPr>
        <w:pStyle w:val="ListParagraph"/>
        <w:numPr>
          <w:ilvl w:val="0"/>
          <w:numId w:val="2"/>
        </w:numPr>
        <w:spacing w:after="60"/>
      </w:pPr>
      <w:r>
        <w:rPr>
          <w:rFonts w:ascii="Arial" w:cs="Arial" w:eastAsia="Arial" w:hAnsi="Arial"/>
          <w:sz w:val="22"/>
          <w:szCs w:val="22"/>
        </w:rPr>
        <w:t xml:space="preserve">Recruiter agent that switches into pre-screening mode for candidate calls — leads conversation, evaluates against rubric, captures structured output</w:t>
      </w:r>
    </w:p>
    <w:p>
      <w:pPr>
        <w:pStyle w:val="ListParagraph"/>
        <w:numPr>
          <w:ilvl w:val="0"/>
          <w:numId w:val="2"/>
        </w:numPr>
        <w:spacing w:after="60"/>
      </w:pPr>
      <w:r>
        <w:rPr>
          <w:rFonts w:ascii="Arial" w:cs="Arial" w:eastAsia="Arial" w:hAnsi="Arial"/>
          <w:sz w:val="22"/>
          <w:szCs w:val="22"/>
        </w:rPr>
        <w:t xml:space="preserve">Native ticketing system: every call creates a blank ticket that fills progressively; repeat callers merge automatically; contextual summaries tailored per recipient</w:t>
      </w:r>
    </w:p>
    <w:p>
      <w:pPr>
        <w:pStyle w:val="ListParagraph"/>
        <w:numPr>
          <w:ilvl w:val="0"/>
          <w:numId w:val="2"/>
        </w:numPr>
        <w:spacing w:after="60"/>
      </w:pPr>
      <w:r>
        <w:rPr>
          <w:rFonts w:ascii="Arial" w:cs="Arial" w:eastAsia="Arial" w:hAnsi="Arial"/>
          <w:sz w:val="22"/>
          <w:szCs w:val="22"/>
        </w:rPr>
        <w:t xml:space="preserve">External voice UX: high-quality, natural conversational experience for callers</w:t>
      </w:r>
    </w:p>
    <w:p>
      <w:pPr>
        <w:pStyle w:val="ListParagraph"/>
        <w:numPr>
          <w:ilvl w:val="0"/>
          <w:numId w:val="2"/>
        </w:numPr>
        <w:spacing w:after="60"/>
      </w:pPr>
      <w:r>
        <w:rPr>
          <w:rFonts w:ascii="Arial" w:cs="Arial" w:eastAsia="Arial" w:hAnsi="Arial"/>
          <w:sz w:val="22"/>
          <w:szCs w:val="22"/>
        </w:rPr>
        <w:t xml:space="preserve">Internal messaging bus: central routing layer across text, Slack, and email with SOP-driven rules for who gets what message type</w:t>
      </w:r>
    </w:p>
    <w:p>
      <w:pPr>
        <w:pStyle w:val="ListParagraph"/>
        <w:numPr>
          <w:ilvl w:val="0"/>
          <w:numId w:val="2"/>
        </w:numPr>
        <w:spacing w:after="60"/>
      </w:pPr>
      <w:r>
        <w:rPr>
          <w:rFonts w:ascii="Arial" w:cs="Arial" w:eastAsia="Arial" w:hAnsi="Arial"/>
          <w:sz w:val="22"/>
          <w:szCs w:val="22"/>
        </w:rPr>
        <w:t xml:space="preserve">Bullhorn integration: read/write on candidate records, tear sheets, job requisitions, call transcripts, and evaluation data</w:t>
      </w:r>
    </w:p>
    <w:p>
      <w:pPr>
        <w:pStyle w:val="ListParagraph"/>
        <w:numPr>
          <w:ilvl w:val="0"/>
          <w:numId w:val="2"/>
        </w:numPr>
        <w:spacing w:after="60"/>
      </w:pPr>
      <w:r>
        <w:rPr>
          <w:rFonts w:ascii="Arial" w:cs="Arial" w:eastAsia="Arial" w:hAnsi="Arial"/>
          <w:sz w:val="22"/>
          <w:szCs w:val="22"/>
        </w:rPr>
        <w:t xml:space="preserve">RingCentral integration: call routing, telephony infrastructure</w:t>
      </w:r>
    </w:p>
    <w:p>
      <w:pPr>
        <w:pStyle w:val="ListParagraph"/>
        <w:numPr>
          <w:ilvl w:val="0"/>
          <w:numId w:val="2"/>
        </w:numPr>
        <w:spacing w:after="60"/>
      </w:pPr>
      <w:r>
        <w:rPr>
          <w:rFonts w:ascii="Arial" w:cs="Arial" w:eastAsia="Arial" w:hAnsi="Arial"/>
          <w:sz w:val="22"/>
          <w:szCs w:val="22"/>
        </w:rPr>
        <w:t xml:space="preserve">Context management layer (Layers): agent profiles, rules, integrations, authoring tools — reusable across engagements</w:t>
      </w:r>
    </w:p>
    <w:p>
      <w:pPr>
        <w:pStyle w:val="ListParagraph"/>
        <w:numPr>
          <w:ilvl w:val="0"/>
          <w:numId w:val="2"/>
        </w:numPr>
        <w:spacing w:after="60"/>
      </w:pPr>
      <w:r>
        <w:rPr>
          <w:rFonts w:ascii="Arial" w:cs="Arial" w:eastAsia="Arial" w:hAnsi="Arial"/>
          <w:sz w:val="22"/>
          <w:szCs w:val="22"/>
        </w:rPr>
        <w:t xml:space="preserve">Audit and reporting interface: BlueWave team can review agent actions, flag errors, and improve over time</w:t>
      </w:r>
    </w:p>
    <w:p>
      <w:pPr>
        <w:pStyle w:val="ListParagraph"/>
        <w:numPr>
          <w:ilvl w:val="0"/>
          <w:numId w:val="2"/>
        </w:numPr>
        <w:spacing w:after="60"/>
      </w:pPr>
      <w:r>
        <w:rPr>
          <w:rFonts w:ascii="Arial" w:cs="Arial" w:eastAsia="Arial" w:hAnsi="Arial"/>
          <w:sz w:val="22"/>
          <w:szCs w:val="22"/>
        </w:rPr>
        <w:t xml:space="preserve">Progressive delegation model: start with low-stakes call types, expand as confidence builds during pilot</w:t>
      </w:r>
    </w:p>
    <w:p>
      <w:pPr>
        <w:pStyle w:val="ListParagraph"/>
        <w:numPr>
          <w:ilvl w:val="0"/>
          <w:numId w:val="2"/>
        </w:numPr>
        <w:spacing w:after="60"/>
      </w:pPr>
      <w:r>
        <w:rPr>
          <w:rFonts w:ascii="Arial" w:cs="Arial" w:eastAsia="Arial" w:hAnsi="Arial"/>
          <w:sz w:val="22"/>
          <w:szCs w:val="22"/>
        </w:rPr>
        <w:t xml:space="preserve">Data ownership: closed-loop deployment, no external data exposure, BlueWave owns all Aqueduct IP</w:t>
      </w:r>
    </w:p>
    <w:p>
      <w:pPr>
        <w:pStyle w:val="Heading1"/>
        <w:spacing w:after="200" w:before="360"/>
      </w:pPr>
      <w:r>
        <w:rPr>
          <w:rFonts w:ascii="Arial" w:cs="Arial" w:eastAsia="Arial" w:hAnsi="Arial"/>
          <w:b/>
          <w:bCs/>
          <w:color w:val="333333"/>
          <w:sz w:val="28"/>
          <w:szCs w:val="28"/>
        </w:rPr>
        <w:t xml:space="preserve">3.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Platform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Cloud-hosted or local deployment (TBD based on security and cost analysis). Options discussed: AWS Bedrock (cloud), local models (Gemma 26B+), or hybrid. Deployment decision affects security posture and operating costs.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Tech Stack</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Implementation likely Python (similar to existing Kyle setup) or Next.js modeled on open-source agent frameworks (OpenAI/Anthropic patterns). Voice model TBD: cloud (ElevenLabs, Bedrock) vs. local. Standards for building orchestrators to be established during this engagement.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Integrations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Required:
</w:t>
            </w:r>
            <w:r>
              <w:rPr>
                <w:rFonts w:ascii="Arial" w:cs="Arial" w:eastAsia="Arial" w:hAnsi="Arial"/>
                <w:sz w:val="22"/>
                <w:szCs w:val="22"/>
              </w:rPr>
              <w:t xml:space="preserve">• Bullhorn (ATS/CRM) — core integration, read/write on candidate records, tear sheets, job reqs. ~200K candidate records in database. API access level needs confirmation.
• RingCentral — telephony and call routing infrastructure. RingCentral AIR evaluated but lacks Bullhorn integration and data portability.
• Slack — internal notifications, daily tear sheet updates, agent alerts.
• BlueWave website job board — hosted by third party, syncs to Bullhorn, distributes to ~100 job boards via Haley/Daily Marketing.
</w:t>
            </w:r>
            <w:r>
              <w:rPr>
                <w:rFonts w:ascii="Arial" w:cs="Arial" w:eastAsia="Arial" w:hAnsi="Arial"/>
                <w:b/>
                <w:bCs/>
                <w:sz w:val="22"/>
                <w:szCs w:val="22"/>
              </w:rPr>
              <w:t xml:space="preserve">Deferred (outbound screening component):
</w:t>
            </w:r>
            <w:r>
              <w:rPr>
                <w:rFonts w:ascii="Arial" w:cs="Arial" w:eastAsia="Arial" w:hAnsi="Arial"/>
                <w:sz w:val="22"/>
                <w:szCs w:val="22"/>
              </w:rPr>
              <w:t xml:space="preserve">• LinkedIn Recruiter, ZipRecruiter, Indeed, Dice — sourcing tools with per-click cost structures; will not be opened to agents initially due to cost controls needed.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Data Requirements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Closed-loop / private AI deployment. No candidate or client data exposed externally. System will access internal tools and candidate data; security parameters to be defined upfront. Bullhorn data export confirmed possible before contract end. Cross-referencing candidates across source systems is the biggest gap in the industry — this is where the opportunity lives.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Security Requirements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Private/closed-loop deployment required. Cloud models (including AWS Bedrock) still touch external infrastructure — not fully air-gapped. Local models (26B+) viable if testing/validation pipeline is strong. Security implications of cloud vs. local to be resolved during design phase.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Scalability Requirements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Current state: ~8–10 inbound calls/day, ~18–20 recruiters, ~200K candidates in Bullhorn. System must scale to support outbound screening (hundreds to thousands of candidate contacts per job req simultaneously).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Performance Requirements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Voice latency must support natural conversation flow. Outbound screening target: qualified candidate shortlist within 1 hour of new req receipt.</w:t>
            </w:r>
          </w:p>
        </w:tc>
      </w:tr>
    </w:tbl>
    <w:p>
      <w:pPr>
        <w:pStyle w:val="Heading1"/>
        <w:spacing w:after="200" w:before="360"/>
      </w:pPr>
      <w:r>
        <w:rPr>
          <w:rFonts w:ascii="Arial" w:cs="Arial" w:eastAsia="Arial" w:hAnsi="Arial"/>
          <w:b/>
          <w:bCs/>
          <w:color w:val="333333"/>
          <w:sz w:val="28"/>
          <w:szCs w:val="28"/>
        </w:rPr>
        <w:t xml:space="preserve">4. Design and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Description of User Experience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Two distinct UX surfaces:
</w:t>
            </w:r>
            <w:r>
              <w:rPr>
                <w:rFonts w:ascii="Arial" w:cs="Arial" w:eastAsia="Arial" w:hAnsi="Arial"/>
                <w:b/>
                <w:bCs/>
                <w:sz w:val="22"/>
                <w:szCs w:val="22"/>
              </w:rPr>
              <w:t xml:space="preserve">1. External Voice (caller-facing):</w:t>
            </w:r>
            <w:r>
              <w:rPr>
                <w:rFonts w:ascii="Arial" w:cs="Arial" w:eastAsia="Arial" w:hAnsi="Arial"/>
                <w:sz w:val="22"/>
                <w:szCs w:val="22"/>
              </w:rPr>
              <w:t xml:space="preserve"> Inbound callers interact with an AI receptionist that introduces itself, determines intent through natural conversation, and routes to the appropriate path (Sales, Admin, or Candidates). Candidate calls transition to a recruiter agent that leads a pre-screening conversation. The experience must feel as natural and high-quality as possible. Dedicated QA testing plan required (see Testing section).
</w:t>
            </w:r>
            <w:r>
              <w:rPr>
                <w:rFonts w:ascii="Arial" w:cs="Arial" w:eastAsia="Arial" w:hAnsi="Arial"/>
                <w:b/>
                <w:bCs/>
                <w:sz w:val="22"/>
                <w:szCs w:val="22"/>
              </w:rPr>
              <w:t xml:space="preserve">2. Internal Messaging (team-facing):</w:t>
            </w:r>
            <w:r>
              <w:rPr>
                <w:rFonts w:ascii="Arial" w:cs="Arial" w:eastAsia="Arial" w:hAnsi="Arial"/>
                <w:sz w:val="22"/>
                <w:szCs w:val="22"/>
              </w:rPr>
              <w:t xml:space="preserve"> A central messaging bus routes notifications, summaries, and escalations to BlueWave staff across text, Slack, and email. Routing follows SOPs: who gets texted vs. emailed, department-specific rules, urgency tiers. Ticket summaries are contextual to the recipient (Charlie gets escalation context; recruiting team gets candidate-fit summaries).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Design Inspiration / Competitors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RingCentral AI Receptionist (AIR) is the closest off-the-shelf analog — but lacks Bullhorn integration and data portability. Tenzo AI for candidate screening with Bullhorn integration. No existing product handles multi-caller-type inbound triage with deep staffing CRM integration.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Audit Interface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BlueWave’s non-technical team needs a CMS-level-simplicity interface to review agent decisions weekly, flag incorrect responses, and improve agent behavior over time. Agents modeled like interns: given instructions, deployed, and improved through feedback loops. Full trace of every agent action back to a decision.</w:t>
            </w:r>
          </w:p>
        </w:tc>
      </w:tr>
    </w:tbl>
    <w:p>
      <w:pPr>
        <w:pStyle w:val="Heading1"/>
        <w:spacing w:after="200" w:before="360"/>
      </w:pPr>
      <w:r>
        <w:rPr>
          <w:rFonts w:ascii="Arial" w:cs="Arial" w:eastAsia="Arial" w:hAnsi="Arial"/>
          <w:b/>
          <w:bCs/>
          <w:color w:val="333333"/>
          <w:sz w:val="28"/>
          <w:szCs w:val="28"/>
        </w:rPr>
        <w:t xml:space="preserve">5. Stakeholder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Key Stakeholders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Decision-maker: </w:t>
            </w:r>
            <w:r>
              <w:rPr>
                <w:rFonts w:ascii="Arial" w:cs="Arial" w:eastAsia="Arial" w:hAnsi="Arial"/>
                <w:sz w:val="22"/>
                <w:szCs w:val="22"/>
              </w:rPr>
              <w:t xml:space="preserve">Charlie Lewis (CEO/Founder) — strategic buyer, exit-motivated, personally driving this investment.
</w:t>
            </w:r>
            <w:r>
              <w:rPr>
                <w:rFonts w:ascii="Arial" w:cs="Arial" w:eastAsia="Arial" w:hAnsi="Arial"/>
                <w:b/>
                <w:bCs/>
                <w:sz w:val="22"/>
                <w:szCs w:val="22"/>
              </w:rPr>
              <w:t xml:space="preserve">Day-to-day operations: </w:t>
            </w:r>
            <w:r>
              <w:rPr>
                <w:rFonts w:ascii="Arial" w:cs="Arial" w:eastAsia="Arial" w:hAnsi="Arial"/>
                <w:sz w:val="22"/>
                <w:szCs w:val="22"/>
              </w:rPr>
              <w:t xml:space="preserve">Laura Danforth (President) — manages daily ops, will oversee adoption.
</w:t>
            </w:r>
            <w:r>
              <w:rPr>
                <w:rFonts w:ascii="Arial" w:cs="Arial" w:eastAsia="Arial" w:hAnsi="Arial"/>
                <w:b/>
                <w:bCs/>
                <w:sz w:val="22"/>
                <w:szCs w:val="22"/>
              </w:rPr>
              <w:t xml:space="preserve">Primary users: </w:t>
            </w:r>
            <w:r>
              <w:rPr>
                <w:rFonts w:ascii="Arial" w:cs="Arial" w:eastAsia="Arial" w:hAnsi="Arial"/>
                <w:sz w:val="22"/>
                <w:szCs w:val="22"/>
              </w:rPr>
              <w:t xml:space="preserve">Connor Meehan (Recruiting Manager, technical POC), Rachel Whitehouse (VP Sales &amp; Recruiting), Kourtney Gross (Operations Manager), and ~18–20 recruiters.
</w:t>
            </w:r>
            <w:r>
              <w:rPr>
                <w:rFonts w:ascii="Arial" w:cs="Arial" w:eastAsia="Arial" w:hAnsi="Arial"/>
                <w:b/>
                <w:bCs/>
                <w:sz w:val="22"/>
                <w:szCs w:val="22"/>
              </w:rPr>
              <w:t xml:space="preserve">Budget approval: </w:t>
            </w:r>
            <w:r>
              <w:rPr>
                <w:rFonts w:ascii="Arial" w:cs="Arial" w:eastAsia="Arial" w:hAnsi="Arial"/>
                <w:sz w:val="22"/>
                <w:szCs w:val="22"/>
              </w:rPr>
              <w:t xml:space="preserve">Likely Charlie + Michael Bowles (CFO, not yet engaged in conversation).
</w:t>
            </w:r>
            <w:r>
              <w:rPr>
                <w:rFonts w:ascii="Arial" w:cs="Arial" w:eastAsia="Arial" w:hAnsi="Arial"/>
                <w:b/>
                <w:bCs/>
                <w:sz w:val="22"/>
                <w:szCs w:val="22"/>
              </w:rPr>
              <w:t xml:space="preserve">Technical POCs: </w:t>
            </w:r>
            <w:r>
              <w:rPr>
                <w:rFonts w:ascii="Arial" w:cs="Arial" w:eastAsia="Arial" w:hAnsi="Arial"/>
                <w:sz w:val="22"/>
                <w:szCs w:val="22"/>
              </w:rPr>
              <w:t xml:space="preserve">Charlie and Connor. Adam (Go Marketing, external) handles website/marketing but is not in scope unless Charlie explicitly directs coordination.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Current State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Inbound calls handled manually. Recruiters spend 75–80% of time on unqualified candidates. Manual sorting through Bullhorn database for job req matching (SpaceX example: 500 applicants, days to produce a shortlist of 30). Team at capacity — can’t grow volume without adding headcount or augmenting digitally. SaaS tools evaluated (Bullhorn Amplify, RingCentral AIR, LinkedIn Recruiter, Tenzo, Whippy, Brilo, Paradox) — none solve the full multi-caller-type triage + Bullhorn integration problem.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Desired Future State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AI handles inbound call triage end-to-end for routine calls. Candidates are pre-screened and evaluated by AI before a recruiter touches them. Qualified shortlists generated within 1 hour of new req. Every call produces a contextual ticket for warm human handoff. Team capacity multiplied 3–5x without proportional headcount growth. Standalone software IP on balance sheet for exit valuation.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Known Constraints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No internal engineering staff. First custom software build. Team uses text/Slack/email interchangeably with no formalized SOPs. Per-click sourcing tools (Indeed, Dice) need cost controls before agent access. Charlie less involved in day-to-day — real users are Laura, Connor, Rachel, Kourtney, recruiters.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Existing Processes / Tools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Bullhorn (ATS/CRM, ~200K candidates), RingCentral (phones), Slack (internal comms), ADP (payroll/benefits), BlueWave website job board (third-party hosted, syncs to Bullhorn, distributes to ~100 boards), LinkedIn Recruiter, ZipRecruiter, Indeed, Dice (sourcing).</w:t>
            </w:r>
          </w:p>
        </w:tc>
      </w:tr>
    </w:tbl>
    <w:p>
      <w:pPr>
        <w:pStyle w:val="Heading1"/>
        <w:spacing w:after="200" w:before="360"/>
      </w:pPr>
      <w:r>
        <w:rPr>
          <w:rFonts w:ascii="Arial" w:cs="Arial" w:eastAsia="Arial" w:hAnsi="Arial"/>
          <w:b/>
          <w:bCs/>
          <w:color w:val="333333"/>
          <w:sz w:val="28"/>
          <w:szCs w:val="28"/>
        </w:rPr>
        <w:t xml:space="preserve">6. Project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Budget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TBD — Charlie stated he does not yet know what this costs. No explicit budget range given. Internal Mirror Factory estimate: $75K–$200K+ depending on scope (internal tool vs. productized software). Value-based pricing model under development. Budget range needed to inform QA plan design and pilot scope.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Timeline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Phased quarterly cadence:
</w:t>
            </w:r>
            <w:r>
              <w:rPr>
                <w:rFonts w:ascii="Arial" w:cs="Arial" w:eastAsia="Arial" w:hAnsi="Arial"/>
                <w:sz w:val="22"/>
                <w:szCs w:val="22"/>
              </w:rPr>
              <w:t xml:space="preserve">The project follows named phases:
Design &amp; Development (estimated 4–6 weeks) — establish the design and development plan, build the MVP focused on inbound triage.
Pilot (estimated ~90 days) — internal pilot focused on inbound triage, continued development of outbound screening, decision gate at end.
Expansion — activate outbound screening, evaluate productization, design additional tools.
Exact phase durations and project milestones will be defined during the Design &amp; Development phase. Exit timeline (~2 years from now) is the strategic constraint — software IP must be built, proven, and demonstrable before exit window.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Other Constraints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 Data privacy: closed-loop deployment, no external data exposure
• No internal engineering staff — system must be maintainable by non-technical team via CMS-like interface
• Voice QA cannot be fully automated — requires human or simulated caller testing
• Per-click sourcing tools need cost controls before outbound screening agent access
• IP ownership: BlueWave owns all Aqueduct IP; Mirror Factory retains Layers IP</w:t>
            </w:r>
          </w:p>
        </w:tc>
      </w:tr>
    </w:tbl>
    <w:p>
      <w:pPr>
        <w:pStyle w:val="Heading1"/>
        <w:spacing w:after="200" w:before="360"/>
      </w:pPr>
      <w:r>
        <w:rPr>
          <w:rFonts w:ascii="Arial" w:cs="Arial" w:eastAsia="Arial" w:hAnsi="Arial"/>
          <w:b/>
          <w:bCs/>
          <w:color w:val="333333"/>
          <w:sz w:val="28"/>
          <w:szCs w:val="28"/>
        </w:rPr>
        <w:t xml:space="preserve">7. Discovery Signal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Desired Outcome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D7D2D"/>
                <w:sz w:val="22"/>
                <w:szCs w:val="22"/>
              </w:rPr>
              <w:t xml:space="preserve">Status: Captured</w:t>
            </w:r>
          </w:p>
          <w:p>
            <w:pPr>
              <w:spacing w:before="60"/>
            </w:pPr>
            <w:r>
              <w:rPr>
                <w:rFonts w:ascii="Arial" w:cs="Arial" w:eastAsia="Arial" w:hAnsi="Arial"/>
                <w:sz w:val="22"/>
                <w:szCs w:val="22"/>
              </w:rPr>
              <w:t xml:space="preserve">Charlie wants every team member doing triple their current output using AI-assisted workflows. Compress time-to-qualified-shortlist from days to under one hour. Eliminate low-value call handling. Increase recruiter capacity 5–10x. Produce standalone software IP for exit valuation. Emphasized: getting humans talking to the right people faster, not replacing humans.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Value of Outcome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8860B"/>
                <w:sz w:val="22"/>
                <w:szCs w:val="22"/>
              </w:rPr>
              <w:t xml:space="preserve">Status: Partially captured</w:t>
            </w:r>
          </w:p>
          <w:p>
            <w:pPr>
              <w:spacing w:before="60"/>
            </w:pPr>
            <w:r>
              <w:rPr>
                <w:rFonts w:ascii="Arial" w:cs="Arial" w:eastAsia="Arial" w:hAnsi="Arial"/>
                <w:sz w:val="22"/>
                <w:szCs w:val="22"/>
              </w:rPr>
              <w:t xml:space="preserve">Recruiters spend 75–80% of time on unqualified candidates across 18–20 recruiters — significant labor waste but no dollar figure attached. (Inferred) 2x placement capacity without headcount = $20M–$40M incremental revenue capacity. Exit valuation uplift from IP ownership is the primary strategic driver but not quantified. Comparable SaaS tools cost hundreds of thousands per year in licensing, anchoring the value of this capability.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Urgency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D7D2D"/>
                <w:sz w:val="22"/>
                <w:szCs w:val="22"/>
              </w:rPr>
              <w:t xml:space="preserve">Status: Captured</w:t>
            </w:r>
          </w:p>
          <w:p>
            <w:pPr>
              <w:spacing w:before="60"/>
            </w:pPr>
            <w:r>
              <w:rPr>
                <w:rFonts w:ascii="Arial" w:cs="Arial" w:eastAsia="Arial" w:hAnsi="Arial"/>
                <w:sz w:val="22"/>
                <w:szCs w:val="22"/>
              </w:rPr>
              <w:t xml:space="preserve">Two drivers: (1) Strategic — exit in ~2 years, software IP must be built and proven before exit window. Starting now aligns with that timeline. (2) Operational — team at capacity, can’t grow without digital augmentation. No competing vendor selected.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Cost of Inaction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8860B"/>
                <w:sz w:val="22"/>
                <w:szCs w:val="22"/>
              </w:rPr>
              <w:t xml:space="preserve">Status: Partially captured</w:t>
            </w:r>
          </w:p>
          <w:p>
            <w:pPr>
              <w:spacing w:before="60"/>
            </w:pPr>
            <w:r>
              <w:rPr>
                <w:rFonts w:ascii="Arial" w:cs="Arial" w:eastAsia="Arial" w:hAnsi="Arial"/>
                <w:sz w:val="22"/>
                <w:szCs w:val="22"/>
              </w:rPr>
              <w:t xml:space="preserve">Pain points: 75–80% recruiter time on unqualified candidates; SpaceX req example (days for 30-person shortlist from 500 applicants); 8–10 inbound calls/day consuming admin time on low-value tasks. No monthly dollar figure stated. (Inferred) ~$675K–$750K/year in labor misallocation across recruiter team. Opportunity cost of missed/slow placements not quantified.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Client Profile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D7D2D"/>
                <w:sz w:val="22"/>
                <w:szCs w:val="22"/>
              </w:rPr>
              <w:t xml:space="preserve">Status: Captured</w:t>
            </w:r>
          </w:p>
          <w:p>
            <w:pPr>
              <w:spacing w:before="60"/>
            </w:pPr>
            <w:r>
              <w:rPr>
                <w:rFonts w:ascii="Arial" w:cs="Arial" w:eastAsia="Arial" w:hAnsi="Arial"/>
                <w:sz w:val="22"/>
                <w:szCs w:val="22"/>
              </w:rPr>
              <w:t xml:space="preserve">Low-to-moderate technical sophistication internally. Technical POCs: Charlie and Connor. No engineering staff. Revenue-funded, ~$40M/year. Charlie is sole decision-maker on strategy; CFO Michael Bowles likely involved in budget approval. No prior custom software engagements. High openness to AI — Charlie is savvy and exit-motivated.</w:t>
            </w:r>
          </w:p>
        </w:tc>
      </w:tr>
    </w:tbl>
    <w:p>
      <w:pPr>
        <w:pStyle w:val="Heading1"/>
        <w:spacing w:after="200" w:before="360"/>
      </w:pPr>
      <w:r>
        <w:rPr>
          <w:rFonts w:ascii="Arial" w:cs="Arial" w:eastAsia="Arial" w:hAnsi="Arial"/>
          <w:b/>
          <w:bCs/>
          <w:color w:val="333333"/>
          <w:sz w:val="28"/>
          <w:szCs w:val="28"/>
        </w:rPr>
        <w:t xml:space="preserve">8. Additional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Competitive Landscape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Bullhorn Amplify (recruiter productivity, no voice AI), RingCentral AIR (closest off-the-shelf but no Bullhorn integration or data portability), Tenzo AI (candidate screening with Bullhorn integration, outbound-focused), Whippy (recruiter automation, not general inbound), Brilo (AI phone agents, general-purpose), Paradox/Olivia (conversational recruiting, chat-first). None solve multi-caller-type inbound triage + deep Bullhorn integration. This gap is the custom-build justification.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Build vs. Buy Rationale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 IP ownership increases exit multiple. 2) No existing tool handles BlueWave’s multi-caller-type triage. 3) RingCentral AIR doesn’t integrate with Bullhorn. 4) Third-party tools are point solutions, not unified. 5) Proprietary system can be positioned as a product, not just internal tool.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Testing / QA Plan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Three options discussed: (1) Internal testing only — fast, cheap, lower coverage. (2) Hire human callers for scripted/adversarial testing — highest fidelity. (3) ElevenLabs TTS scripting for simulated calls at scale. Recommended: mix of 2 and 3; ratio depends on QA budget. Pre-launch target: ~100 scripted test calls covering diverse scenarios. Budget band directly determines QA approach ($500K = robust hybrid; $100K = leaner automated).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Product Vision (Expansion phase)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Activate outbound screening component. Evaluate packaging Aqueduct 1.0 for other staffing agencies (NextPath mentioned). Begin designing additional tools for sales, compliance, outbound workflows. Context lifecycle: collect → curate → coordinate → compound.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Document / Content Links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Whiteboard architecture photo (uploaded to project). Discovery prep doc: BlueWave_Discovery_Prep_20260331.md. Granola meeting notes: BlueWave AI Discussion (Mar 31), Discussing BlueWave Project (Apr 3).</w:t>
            </w:r>
          </w:p>
        </w:tc>
      </w:tr>
    </w:tbl>
    <w:p>
      <w:pPr>
        <w:pStyle w:val="Heading1"/>
        <w:spacing w:after="200" w:before="360"/>
      </w:pPr>
      <w:r>
        <w:rPr>
          <w:rFonts w:ascii="Arial" w:cs="Arial" w:eastAsia="Arial" w:hAnsi="Arial"/>
          <w:b/>
          <w:bCs/>
          <w:color w:val="333333"/>
          <w:sz w:val="28"/>
          <w:szCs w:val="28"/>
        </w:rPr>
        <w:t xml:space="preserve">9. Questions for Client</w:t>
      </w:r>
    </w:p>
    <w:p>
      <w:pPr>
        <w:pStyle w:val="Heading2"/>
        <w:spacing w:after="120" w:before="240"/>
      </w:pPr>
      <w:r>
        <w:rPr>
          <w:rFonts w:ascii="Arial" w:cs="Arial" w:eastAsia="Arial" w:hAnsi="Arial"/>
          <w:b/>
          <w:bCs/>
          <w:color w:val="555555"/>
          <w:sz w:val="24"/>
          <w:szCs w:val="24"/>
        </w:rPr>
        <w:t xml:space="preserve">Discovery Gaps</w:t>
      </w:r>
    </w:p>
    <w:p>
      <w:pPr>
        <w:pStyle w:val="ListParagraph"/>
        <w:numPr>
          <w:ilvl w:val="0"/>
          <w:numId w:val="3"/>
        </w:numPr>
        <w:spacing w:after="80"/>
      </w:pPr>
      <w:r>
        <w:rPr>
          <w:rFonts w:ascii="Arial" w:cs="Arial" w:eastAsia="Arial" w:hAnsi="Arial"/>
          <w:sz w:val="22"/>
          <w:szCs w:val="22"/>
        </w:rPr>
        <w:t xml:space="preserve">What is BlueWave’s approximate annual cost for recruiter time spent on unqualified candidates? Even a rough estimate helps us frame the value of the system and inform pricing. (Targets: Cost of Inaction signal)</w:t>
      </w:r>
    </w:p>
    <w:p>
      <w:pPr>
        <w:pStyle w:val="ListParagraph"/>
        <w:numPr>
          <w:ilvl w:val="0"/>
          <w:numId w:val="3"/>
        </w:numPr>
        <w:spacing w:after="80"/>
      </w:pPr>
      <w:r>
        <w:rPr>
          <w:rFonts w:ascii="Arial" w:cs="Arial" w:eastAsia="Arial" w:hAnsi="Arial"/>
          <w:sz w:val="22"/>
          <w:szCs w:val="22"/>
        </w:rPr>
        <w:t xml:space="preserve">Is there a number you’d attach to the value of compressing time-to-qualified-shortlist from days to under an hour? What would that be worth per job req, or annually? (Targets: Value of Outcome signal)</w:t>
      </w:r>
    </w:p>
    <w:p>
      <w:pPr>
        <w:pStyle w:val="Heading2"/>
        <w:spacing w:after="120" w:before="240"/>
      </w:pPr>
      <w:r>
        <w:rPr>
          <w:rFonts w:ascii="Arial" w:cs="Arial" w:eastAsia="Arial" w:hAnsi="Arial"/>
          <w:b/>
          <w:bCs/>
          <w:color w:val="555555"/>
          <w:sz w:val="24"/>
          <w:szCs w:val="24"/>
        </w:rPr>
        <w:t xml:space="preserve">Scope &amp; Technical</w:t>
      </w:r>
    </w:p>
    <w:p>
      <w:pPr>
        <w:pStyle w:val="ListParagraph"/>
        <w:numPr>
          <w:ilvl w:val="0"/>
          <w:numId w:val="4"/>
        </w:numPr>
        <w:spacing w:after="80"/>
      </w:pPr>
      <w:r>
        <w:rPr>
          <w:rFonts w:ascii="Arial" w:cs="Arial" w:eastAsia="Arial" w:hAnsi="Arial"/>
          <w:sz w:val="22"/>
          <w:szCs w:val="22"/>
        </w:rPr>
        <w:t xml:space="preserve">Is Project Aqueduct purely an internal tool, or do you envision licensing or selling it to other staffing firms? This significantly affects architecture decisions (multi-tenancy, portability, documentation standards).</w:t>
      </w:r>
    </w:p>
    <w:p>
      <w:pPr>
        <w:pStyle w:val="ListParagraph"/>
        <w:numPr>
          <w:ilvl w:val="0"/>
          <w:numId w:val="4"/>
        </w:numPr>
        <w:spacing w:after="80"/>
      </w:pPr>
      <w:r>
        <w:rPr>
          <w:rFonts w:ascii="Arial" w:cs="Arial" w:eastAsia="Arial" w:hAnsi="Arial"/>
          <w:sz w:val="22"/>
          <w:szCs w:val="22"/>
        </w:rPr>
        <w:t xml:space="preserve">Can you confirm the Bullhorn API access level BlueWave currently has? Specifically: read/write on candidate records, tear sheets, and job requisitions.</w:t>
      </w:r>
    </w:p>
    <w:p>
      <w:pPr>
        <w:pStyle w:val="ListParagraph"/>
        <w:numPr>
          <w:ilvl w:val="0"/>
          <w:numId w:val="4"/>
        </w:numPr>
        <w:spacing w:after="80"/>
      </w:pPr>
      <w:r>
        <w:rPr>
          <w:rFonts w:ascii="Arial" w:cs="Arial" w:eastAsia="Arial" w:hAnsi="Arial"/>
          <w:sz w:val="22"/>
          <w:szCs w:val="22"/>
        </w:rPr>
        <w:t xml:space="preserve">What are the 3–5 qualifying criteria most commonly used across job types when your recruiters screen candidates? This defines the initial screening agent logic.</w:t>
      </w:r>
    </w:p>
    <w:p>
      <w:pPr>
        <w:pStyle w:val="ListParagraph"/>
        <w:numPr>
          <w:ilvl w:val="0"/>
          <w:numId w:val="4"/>
        </w:numPr>
        <w:spacing w:after="80"/>
      </w:pPr>
      <w:r>
        <w:rPr>
          <w:rFonts w:ascii="Arial" w:cs="Arial" w:eastAsia="Arial" w:hAnsi="Arial"/>
          <w:sz w:val="22"/>
          <w:szCs w:val="22"/>
        </w:rPr>
        <w:t xml:space="preserve">Walk us through the full call routing tree: when someone calls the main number today, who answers, what questions do they ask, and how do they decide where to route? We need this documented for each department path (Sales, Admin/HR, Recruiting).</w:t>
      </w:r>
    </w:p>
    <w:p>
      <w:pPr>
        <w:pStyle w:val="ListParagraph"/>
        <w:numPr>
          <w:ilvl w:val="0"/>
          <w:numId w:val="4"/>
        </w:numPr>
        <w:spacing w:after="80"/>
      </w:pPr>
      <w:r>
        <w:rPr>
          <w:rFonts w:ascii="Arial" w:cs="Arial" w:eastAsia="Arial" w:hAnsi="Arial"/>
          <w:sz w:val="22"/>
          <w:szCs w:val="22"/>
        </w:rPr>
        <w:t xml:space="preserve">What internal messaging SOPs exist? When does someone get a text vs. a Slack message vs. an email? Are there department-specific rules or urgency tiers?</w:t>
      </w:r>
    </w:p>
    <w:p>
      <w:pPr>
        <w:pStyle w:val="Heading2"/>
        <w:spacing w:after="120" w:before="240"/>
      </w:pPr>
      <w:r>
        <w:rPr>
          <w:rFonts w:ascii="Arial" w:cs="Arial" w:eastAsia="Arial" w:hAnsi="Arial"/>
          <w:b/>
          <w:bCs/>
          <w:color w:val="555555"/>
          <w:sz w:val="24"/>
          <w:szCs w:val="24"/>
        </w:rPr>
        <w:t xml:space="preserve">Budget &amp; Engagement</w:t>
      </w:r>
    </w:p>
    <w:p>
      <w:pPr>
        <w:pStyle w:val="ListParagraph"/>
        <w:numPr>
          <w:ilvl w:val="0"/>
          <w:numId w:val="4"/>
        </w:numPr>
        <w:spacing w:after="80"/>
      </w:pPr>
      <w:r>
        <w:rPr>
          <w:rFonts w:ascii="Arial" w:cs="Arial" w:eastAsia="Arial" w:hAnsi="Arial"/>
          <w:sz w:val="22"/>
          <w:szCs w:val="22"/>
        </w:rPr>
        <w:t xml:space="preserve">What is your budget range for this engagement? Frame: budget determines whether we invest in robust human QA testing, automated TTS testing, or a hybrid. Both paths are viable but look very different. This is a design input, not a qualification question.</w:t>
      </w:r>
    </w:p>
    <w:p>
      <w:pPr>
        <w:pStyle w:val="ListParagraph"/>
        <w:numPr>
          <w:ilvl w:val="0"/>
          <w:numId w:val="4"/>
        </w:numPr>
        <w:spacing w:after="80"/>
      </w:pPr>
      <w:r>
        <w:rPr>
          <w:rFonts w:ascii="Arial" w:cs="Arial" w:eastAsia="Arial" w:hAnsi="Arial"/>
          <w:sz w:val="22"/>
          <w:szCs w:val="22"/>
        </w:rPr>
        <w:t xml:space="preserve">Who beyond Charlie needs to approve budget and scope? Should we plan to present to Michael Bowles (CFO) or the full leadership team?</w:t>
      </w:r>
    </w:p>
    <w:p>
      <w:pPr>
        <w:pStyle w:val="ListParagraph"/>
        <w:numPr>
          <w:ilvl w:val="0"/>
          <w:numId w:val="4"/>
        </w:numPr>
        <w:spacing w:after="80"/>
      </w:pPr>
      <w:r>
        <w:rPr>
          <w:rFonts w:ascii="Arial" w:cs="Arial" w:eastAsia="Arial" w:hAnsi="Arial"/>
          <w:sz w:val="22"/>
          <w:szCs w:val="22"/>
        </w:rPr>
        <w:t xml:space="preserve">What does Charlie and Connor’s availability look like for whiteboard sessions, Bullhorn walkthroughs, and ongoing design feedback during the build phase?</w:t>
      </w:r>
    </w:p>
    <w:p>
      <w:pPr>
        <w:pStyle w:val="Heading1"/>
        <w:spacing w:after="200" w:before="360"/>
      </w:pPr>
      <w:r>
        <w:rPr>
          <w:rFonts w:ascii="Arial" w:cs="Arial" w:eastAsia="Arial" w:hAnsi="Arial"/>
          <w:b/>
          <w:bCs/>
          <w:color w:val="333333"/>
          <w:sz w:val="28"/>
          <w:szCs w:val="28"/>
        </w:rPr>
        <w:t xml:space="preserve">10. Internal Notes</w:t>
      </w:r>
    </w:p>
    <w:p>
      <w:pPr>
        <w:spacing w:after="120"/>
      </w:pPr>
      <w:r>
        <w:rPr>
          <w:rFonts w:ascii="Arial" w:cs="Arial" w:eastAsia="Arial" w:hAnsi="Arial"/>
          <w:i/>
          <w:iCs/>
          <w:color w:val="555555"/>
          <w:sz w:val="22"/>
          <w:szCs w:val="22"/>
        </w:rPr>
        <w:t xml:space="preserve">Internal use only — not for client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sz w:val="22"/>
                <w:szCs w:val="22"/>
              </w:rPr>
              <w:t xml:space="preserve">Deal Signal</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Full product build (phased), hybrid consulting + platform. Large: $100K+. Confidence: Medium (no budget discussed; inferred from revenue, exit motivation, comparable SaaS spend).</w:t>
            </w:r>
          </w:p>
        </w:tc>
      </w:tr>
      <w:tr>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sz w:val="22"/>
                <w:szCs w:val="22"/>
              </w:rPr>
              <w:t xml:space="preserve">Qualification Status</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Qualified — proceed to ROM</w:t>
            </w:r>
          </w:p>
        </w:tc>
      </w:tr>
      <w:tr>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sz w:val="22"/>
                <w:szCs w:val="22"/>
              </w:rPr>
              <w:t xml:space="preserve">Recommended Next Step</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Generate ROM estimate. Structure as phased engagement with named phases: Design &amp; Development, Pilot, Expansion. Project and product milestones to be defined during the Design &amp; Development phase. Include value-based pricing framework alongside cost breakdown. Align internally on pricing model and communication approach before sending.</w:t>
            </w:r>
          </w:p>
        </w:tc>
      </w:tr>
      <w:tr>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sz w:val="22"/>
                <w:szCs w:val="22"/>
              </w:rPr>
              <w:t xml:space="preserve">Pipeline Notes</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sz w:val="22"/>
                <w:szCs w:val="22"/>
              </w:rPr>
              <w:t xml:space="preserve">Relationship dynamics: </w:t>
            </w:r>
            <w:r>
              <w:rPr>
                <w:rFonts w:ascii="Arial" w:cs="Arial" w:eastAsia="Arial" w:hAnsi="Arial"/>
                <w:sz w:val="22"/>
                <w:szCs w:val="22"/>
              </w:rPr>
              <w:t xml:space="preserve">Strong existing trust. Watch for friend-discount trap — relationship should earn trust and access, not pressure to undervalue work. Charlie is motivated by financial outcomes and will respect a well-justified price.
</w:t>
            </w:r>
            <w:r>
              <w:rPr>
                <w:rFonts w:ascii="Arial" w:cs="Arial" w:eastAsia="Arial" w:hAnsi="Arial"/>
                <w:b/>
                <w:bCs/>
                <w:sz w:val="22"/>
                <w:szCs w:val="22"/>
              </w:rPr>
              <w:t xml:space="preserve">Strategic value: </w:t>
            </w:r>
            <w:r>
              <w:rPr>
                <w:rFonts w:ascii="Arial" w:cs="Arial" w:eastAsia="Arial" w:hAnsi="Arial"/>
                <w:sz w:val="22"/>
                <w:szCs w:val="22"/>
              </w:rPr>
              <w:t xml:space="preserve">First client engagement for Layers platform. This engagement establishes the pattern for future staffing vertical clients and validates Mirror Factory’s consulting + platform model.
</w:t>
            </w:r>
            <w:r>
              <w:rPr>
                <w:rFonts w:ascii="Arial" w:cs="Arial" w:eastAsia="Arial" w:hAnsi="Arial"/>
                <w:b/>
                <w:bCs/>
                <w:sz w:val="22"/>
                <w:szCs w:val="22"/>
              </w:rPr>
              <w:t xml:space="preserve">Cross-sell potential: </w:t>
            </w:r>
            <w:r>
              <w:rPr>
                <w:rFonts w:ascii="Arial" w:cs="Arial" w:eastAsia="Arial" w:hAnsi="Arial"/>
                <w:sz w:val="22"/>
                <w:szCs w:val="22"/>
              </w:rPr>
              <w:t xml:space="preserve">Website chatbot, shared inbox, sales tools, compliance workflows — expanding engagement as Aqueduct matures.
</w:t>
            </w:r>
            <w:r>
              <w:rPr>
                <w:rFonts w:ascii="Arial" w:cs="Arial" w:eastAsia="Arial" w:hAnsi="Arial"/>
                <w:b/>
                <w:bCs/>
                <w:sz w:val="22"/>
                <w:szCs w:val="22"/>
              </w:rPr>
              <w:t xml:space="preserve">Concerns: </w:t>
            </w:r>
            <w:r>
              <w:rPr>
                <w:rFonts w:ascii="Arial" w:cs="Arial" w:eastAsia="Arial" w:hAnsi="Arial"/>
                <w:sz w:val="22"/>
                <w:szCs w:val="22"/>
              </w:rPr>
              <w:t xml:space="preserve">Pricing communication has caused recent deals to stall or fall short — team flagged this as a gap that needs to be fixed before this proposal goes out. Value is there; problem is how it’s being communicated. Also: BlueWave has no prior custom software experience — expectations on iterative development process may need calibration.</w:t>
            </w:r>
          </w:p>
        </w:tc>
      </w:tr>
      <w:tr>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sz w:val="22"/>
                <w:szCs w:val="22"/>
              </w:rPr>
              <w:t xml:space="preserve">Meeting Source</w:t>
            </w:r>
          </w:p>
        </w:tc>
        <w:tc>
          <w:tcPr>
            <w:tcW w:type="dxa" w:w="65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Granola meeting notes: “BlueWave AI Discussion” (Mar 31, 2026 — discovery with client) and “Discussing BlueWave Project” (Apr 3, 2026 — internal Mirror Factory debrief). Full transcripts available.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33333"/>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2026-04-05T23:09:40.939Z</dcterms:created>
  <dcterms:modified xsi:type="dcterms:W3CDTF">2026-04-05T23:09:40.940Z</dcterms:modified>
</cp:coreProperties>
</file>

<file path=docProps/custom.xml><?xml version="1.0" encoding="utf-8"?>
<Properties xmlns="http://schemas.openxmlformats.org/officeDocument/2006/custom-properties" xmlns:vt="http://schemas.openxmlformats.org/officeDocument/2006/docPropsVTypes"/>
</file>